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8A" w:rsidRDefault="00E7438A">
      <w:bookmarkStart w:id="0" w:name="_GoBack"/>
      <w:bookmarkEnd w:id="0"/>
    </w:p>
    <w:p w:rsidR="00695861" w:rsidRPr="00695861" w:rsidRDefault="00695861" w:rsidP="00695861">
      <w:pPr>
        <w:jc w:val="center"/>
        <w:rPr>
          <w:sz w:val="40"/>
          <w:szCs w:val="40"/>
        </w:rPr>
      </w:pPr>
    </w:p>
    <w:p w:rsidR="00695861" w:rsidRDefault="00695861" w:rsidP="00695861">
      <w:pPr>
        <w:jc w:val="center"/>
        <w:rPr>
          <w:b/>
          <w:sz w:val="40"/>
          <w:szCs w:val="40"/>
          <w:u w:val="single"/>
        </w:rPr>
      </w:pPr>
    </w:p>
    <w:p w:rsidR="00695861" w:rsidRDefault="00695861" w:rsidP="00695861">
      <w:pPr>
        <w:jc w:val="center"/>
        <w:rPr>
          <w:b/>
          <w:sz w:val="40"/>
          <w:szCs w:val="40"/>
          <w:u w:val="single"/>
        </w:rPr>
      </w:pPr>
    </w:p>
    <w:p w:rsidR="00695861" w:rsidRDefault="00695861" w:rsidP="00695861">
      <w:pPr>
        <w:jc w:val="center"/>
        <w:rPr>
          <w:b/>
          <w:sz w:val="40"/>
          <w:szCs w:val="40"/>
          <w:u w:val="single"/>
        </w:rPr>
      </w:pPr>
    </w:p>
    <w:p w:rsidR="00695861" w:rsidRPr="00695861" w:rsidRDefault="00695861" w:rsidP="00695861">
      <w:pPr>
        <w:jc w:val="center"/>
        <w:rPr>
          <w:b/>
          <w:sz w:val="40"/>
          <w:szCs w:val="40"/>
          <w:u w:val="single"/>
        </w:rPr>
      </w:pPr>
      <w:r w:rsidRPr="00695861">
        <w:rPr>
          <w:b/>
          <w:sz w:val="40"/>
          <w:szCs w:val="40"/>
          <w:u w:val="single"/>
        </w:rPr>
        <w:t>COMPARATIVE ANALYSIS OF TAXPAYER’S PRIMARY</w:t>
      </w:r>
    </w:p>
    <w:p w:rsidR="00695861" w:rsidRPr="00695861" w:rsidRDefault="00695861" w:rsidP="00695861">
      <w:pPr>
        <w:jc w:val="center"/>
        <w:rPr>
          <w:b/>
          <w:sz w:val="40"/>
          <w:szCs w:val="40"/>
          <w:u w:val="single"/>
        </w:rPr>
      </w:pPr>
      <w:r w:rsidRPr="00695861">
        <w:rPr>
          <w:b/>
          <w:sz w:val="40"/>
          <w:szCs w:val="40"/>
          <w:u w:val="single"/>
        </w:rPr>
        <w:t>OPTIONS FOR REPAYMENT OF TAX DEBT©</w:t>
      </w:r>
    </w:p>
    <w:p w:rsidR="00695861" w:rsidRDefault="00695861" w:rsidP="00695861">
      <w:pPr>
        <w:jc w:val="center"/>
        <w:rPr>
          <w:sz w:val="40"/>
          <w:szCs w:val="40"/>
        </w:rPr>
      </w:pPr>
    </w:p>
    <w:p w:rsidR="00695861" w:rsidRDefault="00695861" w:rsidP="00695861">
      <w:pPr>
        <w:jc w:val="center"/>
        <w:rPr>
          <w:sz w:val="40"/>
          <w:szCs w:val="40"/>
        </w:rPr>
      </w:pPr>
    </w:p>
    <w:p w:rsidR="00695861" w:rsidRDefault="00695861" w:rsidP="00695861">
      <w:pPr>
        <w:jc w:val="center"/>
        <w:rPr>
          <w:sz w:val="40"/>
          <w:szCs w:val="40"/>
        </w:rPr>
      </w:pPr>
    </w:p>
    <w:p w:rsidR="00695861" w:rsidRDefault="00695861" w:rsidP="00695861">
      <w:pPr>
        <w:jc w:val="center"/>
        <w:rPr>
          <w:sz w:val="40"/>
          <w:szCs w:val="40"/>
        </w:rPr>
      </w:pPr>
    </w:p>
    <w:p w:rsidR="00695861" w:rsidRDefault="00695861" w:rsidP="00695861">
      <w:pPr>
        <w:jc w:val="center"/>
        <w:rPr>
          <w:sz w:val="28"/>
          <w:szCs w:val="28"/>
        </w:rPr>
      </w:pPr>
      <w:r>
        <w:rPr>
          <w:sz w:val="28"/>
          <w:szCs w:val="28"/>
        </w:rPr>
        <w:t>William F. Kunofsky CPA JD</w:t>
      </w:r>
    </w:p>
    <w:p w:rsidR="00695861" w:rsidRDefault="00695861" w:rsidP="00695861">
      <w:pPr>
        <w:jc w:val="center"/>
        <w:rPr>
          <w:sz w:val="28"/>
          <w:szCs w:val="28"/>
        </w:rPr>
      </w:pPr>
      <w:r>
        <w:rPr>
          <w:sz w:val="28"/>
          <w:szCs w:val="28"/>
        </w:rPr>
        <w:t>Law Office of William F. Kunofsky</w:t>
      </w:r>
    </w:p>
    <w:p w:rsidR="00695861" w:rsidRDefault="00695861" w:rsidP="00695861">
      <w:pPr>
        <w:jc w:val="center"/>
        <w:rPr>
          <w:sz w:val="28"/>
          <w:szCs w:val="28"/>
        </w:rPr>
      </w:pPr>
      <w:r>
        <w:rPr>
          <w:sz w:val="28"/>
          <w:szCs w:val="28"/>
        </w:rPr>
        <w:t>10300 N. Central Expressway</w:t>
      </w:r>
    </w:p>
    <w:p w:rsidR="00695861" w:rsidRDefault="00695861" w:rsidP="00695861">
      <w:pPr>
        <w:jc w:val="center"/>
        <w:rPr>
          <w:sz w:val="28"/>
          <w:szCs w:val="28"/>
        </w:rPr>
      </w:pPr>
      <w:r>
        <w:rPr>
          <w:sz w:val="28"/>
          <w:szCs w:val="28"/>
        </w:rPr>
        <w:t>Suite 252</w:t>
      </w:r>
    </w:p>
    <w:p w:rsidR="00695861" w:rsidRDefault="00695861" w:rsidP="00695861">
      <w:pPr>
        <w:jc w:val="center"/>
        <w:rPr>
          <w:sz w:val="28"/>
          <w:szCs w:val="28"/>
        </w:rPr>
      </w:pPr>
      <w:r>
        <w:rPr>
          <w:sz w:val="28"/>
          <w:szCs w:val="28"/>
        </w:rPr>
        <w:t>Dallas, Texas 75231</w:t>
      </w:r>
    </w:p>
    <w:p w:rsidR="00695861" w:rsidRDefault="00695861" w:rsidP="00695861">
      <w:pPr>
        <w:jc w:val="center"/>
        <w:rPr>
          <w:sz w:val="28"/>
          <w:szCs w:val="28"/>
        </w:rPr>
      </w:pPr>
      <w:r>
        <w:rPr>
          <w:sz w:val="28"/>
          <w:szCs w:val="28"/>
        </w:rPr>
        <w:t>Office: (214) 369-1040</w:t>
      </w:r>
    </w:p>
    <w:p w:rsidR="00695861" w:rsidRDefault="00695861" w:rsidP="00695861">
      <w:pPr>
        <w:jc w:val="center"/>
        <w:rPr>
          <w:sz w:val="28"/>
          <w:szCs w:val="28"/>
        </w:rPr>
      </w:pPr>
      <w:r>
        <w:rPr>
          <w:sz w:val="28"/>
          <w:szCs w:val="28"/>
        </w:rPr>
        <w:t>wkunofsky@debtfighters.com</w:t>
      </w:r>
    </w:p>
    <w:p w:rsidR="00695861" w:rsidRDefault="00695861" w:rsidP="00695861">
      <w:pPr>
        <w:jc w:val="center"/>
        <w:rPr>
          <w:sz w:val="28"/>
          <w:szCs w:val="28"/>
        </w:rPr>
      </w:pPr>
    </w:p>
    <w:p w:rsidR="00695861" w:rsidRDefault="00695861" w:rsidP="00695861">
      <w:pPr>
        <w:jc w:val="center"/>
        <w:rPr>
          <w:sz w:val="28"/>
          <w:szCs w:val="28"/>
        </w:rPr>
      </w:pPr>
    </w:p>
    <w:p w:rsidR="00695861" w:rsidRDefault="00695861" w:rsidP="00695861">
      <w:pPr>
        <w:jc w:val="center"/>
        <w:rPr>
          <w:sz w:val="28"/>
          <w:szCs w:val="28"/>
        </w:rPr>
      </w:pPr>
    </w:p>
    <w:p w:rsidR="00695861" w:rsidRDefault="00695861" w:rsidP="00695861">
      <w:pPr>
        <w:jc w:val="center"/>
        <w:rPr>
          <w:sz w:val="28"/>
          <w:szCs w:val="28"/>
        </w:rPr>
      </w:pPr>
    </w:p>
    <w:p w:rsidR="00695861" w:rsidRDefault="00695861" w:rsidP="00695861">
      <w:pPr>
        <w:jc w:val="center"/>
        <w:rPr>
          <w:sz w:val="28"/>
          <w:szCs w:val="28"/>
        </w:rPr>
      </w:pPr>
    </w:p>
    <w:p w:rsidR="00695861" w:rsidRDefault="00695861" w:rsidP="00695861">
      <w:pPr>
        <w:jc w:val="center"/>
        <w:rPr>
          <w:sz w:val="28"/>
          <w:szCs w:val="28"/>
        </w:rPr>
      </w:pPr>
    </w:p>
    <w:p w:rsidR="00695861" w:rsidRDefault="00695861" w:rsidP="00695861">
      <w:pPr>
        <w:jc w:val="center"/>
        <w:rPr>
          <w:sz w:val="28"/>
          <w:szCs w:val="28"/>
        </w:rPr>
      </w:pPr>
    </w:p>
    <w:p w:rsidR="00695861" w:rsidRPr="00695861" w:rsidRDefault="00695861" w:rsidP="00695861">
      <w:pPr>
        <w:jc w:val="center"/>
        <w:rPr>
          <w:sz w:val="28"/>
          <w:szCs w:val="28"/>
        </w:rPr>
      </w:pPr>
    </w:p>
    <w:p w:rsidR="00E7438A" w:rsidRDefault="00E7438A">
      <w:pPr>
        <w:spacing w:line="259" w:lineRule="auto"/>
      </w:pPr>
      <w:r>
        <w:br w:type="page"/>
      </w:r>
    </w:p>
    <w:p w:rsidR="00E7438A" w:rsidRDefault="00E7438A">
      <w:pPr>
        <w:spacing w:line="259" w:lineRule="auto"/>
      </w:pPr>
    </w:p>
    <w:p w:rsidR="00E7438A" w:rsidRDefault="00E7438A">
      <w:pPr>
        <w:spacing w:line="259" w:lineRule="auto"/>
      </w:pPr>
    </w:p>
    <w:p w:rsidR="00D317ED" w:rsidRDefault="00D317ED" w:rsidP="00695861">
      <w:pPr>
        <w:jc w:val="center"/>
      </w:pPr>
    </w:p>
    <w:p w:rsidR="00695861" w:rsidRDefault="00075841" w:rsidP="00695861">
      <w:pPr>
        <w:jc w:val="center"/>
        <w:rPr>
          <w:b/>
          <w:sz w:val="28"/>
          <w:szCs w:val="28"/>
          <w:u w:val="single"/>
        </w:rPr>
      </w:pPr>
      <w:r w:rsidRPr="00695861">
        <w:rPr>
          <w:b/>
          <w:sz w:val="28"/>
          <w:szCs w:val="28"/>
          <w:u w:val="single"/>
        </w:rPr>
        <w:t>COMPARATIVE ANALYSIS OF TAXPAYER’S PRIMARY</w:t>
      </w:r>
    </w:p>
    <w:p w:rsidR="00075841" w:rsidRPr="00695861" w:rsidRDefault="00075841" w:rsidP="00695861">
      <w:pPr>
        <w:jc w:val="center"/>
        <w:rPr>
          <w:b/>
          <w:sz w:val="28"/>
          <w:szCs w:val="28"/>
          <w:u w:val="single"/>
        </w:rPr>
      </w:pPr>
      <w:r w:rsidRPr="00695861">
        <w:rPr>
          <w:b/>
          <w:sz w:val="28"/>
          <w:szCs w:val="28"/>
          <w:u w:val="single"/>
        </w:rPr>
        <w:t>OPTIONS FOR REPAYMENT OF TAX DEBT</w:t>
      </w:r>
      <w:r w:rsidR="00E7438A" w:rsidRPr="00695861">
        <w:rPr>
          <w:b/>
          <w:sz w:val="28"/>
          <w:szCs w:val="28"/>
          <w:u w:val="single"/>
        </w:rPr>
        <w:t>©</w:t>
      </w:r>
    </w:p>
    <w:p w:rsidR="00075841" w:rsidRPr="00695861" w:rsidRDefault="00075841" w:rsidP="0069586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0"/>
        <w:gridCol w:w="1771"/>
        <w:gridCol w:w="1771"/>
        <w:gridCol w:w="2091"/>
      </w:tblGrid>
      <w:tr w:rsidR="00075841" w:rsidTr="00075841">
        <w:tc>
          <w:tcPr>
            <w:tcW w:w="1772" w:type="dxa"/>
            <w:shd w:val="clear" w:color="auto" w:fill="auto"/>
          </w:tcPr>
          <w:p w:rsidR="00075841" w:rsidRDefault="00075841" w:rsidP="00A22F34"/>
        </w:tc>
        <w:tc>
          <w:tcPr>
            <w:tcW w:w="1770" w:type="dxa"/>
            <w:shd w:val="clear" w:color="auto" w:fill="auto"/>
          </w:tcPr>
          <w:p w:rsidR="00075841" w:rsidRPr="00A840F3" w:rsidRDefault="00075841" w:rsidP="00A22F34">
            <w:pPr>
              <w:rPr>
                <w:b/>
              </w:rPr>
            </w:pPr>
            <w:r w:rsidRPr="00A840F3">
              <w:rPr>
                <w:b/>
              </w:rPr>
              <w:t>Installment Agreement</w:t>
            </w:r>
          </w:p>
        </w:tc>
        <w:tc>
          <w:tcPr>
            <w:tcW w:w="1771" w:type="dxa"/>
            <w:shd w:val="clear" w:color="auto" w:fill="auto"/>
          </w:tcPr>
          <w:p w:rsidR="00075841" w:rsidRPr="00A840F3" w:rsidRDefault="00075841" w:rsidP="00A22F34">
            <w:pPr>
              <w:rPr>
                <w:b/>
              </w:rPr>
            </w:pPr>
            <w:r w:rsidRPr="00A840F3">
              <w:rPr>
                <w:b/>
              </w:rPr>
              <w:t>Offer in Compromise</w:t>
            </w:r>
          </w:p>
        </w:tc>
        <w:tc>
          <w:tcPr>
            <w:tcW w:w="1771" w:type="dxa"/>
            <w:shd w:val="clear" w:color="auto" w:fill="auto"/>
          </w:tcPr>
          <w:p w:rsidR="00075841" w:rsidRPr="00A840F3" w:rsidRDefault="00075841" w:rsidP="00A22F34">
            <w:pPr>
              <w:rPr>
                <w:b/>
              </w:rPr>
            </w:pPr>
            <w:r w:rsidRPr="00A840F3">
              <w:rPr>
                <w:b/>
              </w:rPr>
              <w:t>Chapter 7 Bankruptcy</w:t>
            </w:r>
          </w:p>
        </w:tc>
        <w:tc>
          <w:tcPr>
            <w:tcW w:w="2091" w:type="dxa"/>
            <w:shd w:val="clear" w:color="auto" w:fill="auto"/>
          </w:tcPr>
          <w:p w:rsidR="00075841" w:rsidRPr="00A840F3" w:rsidRDefault="00075841" w:rsidP="00A22F34">
            <w:pPr>
              <w:rPr>
                <w:b/>
              </w:rPr>
            </w:pPr>
            <w:r w:rsidRPr="00A840F3">
              <w:rPr>
                <w:b/>
              </w:rPr>
              <w:t>Chapter 13 Bankruptcy</w:t>
            </w:r>
          </w:p>
        </w:tc>
      </w:tr>
      <w:tr w:rsidR="00075841" w:rsidTr="00075841">
        <w:tc>
          <w:tcPr>
            <w:tcW w:w="1772" w:type="dxa"/>
            <w:shd w:val="clear" w:color="auto" w:fill="auto"/>
          </w:tcPr>
          <w:p w:rsidR="00075841" w:rsidRPr="00A840F3" w:rsidRDefault="00075841" w:rsidP="00A22F34">
            <w:pPr>
              <w:tabs>
                <w:tab w:val="left" w:pos="180"/>
                <w:tab w:val="left" w:pos="735"/>
              </w:tabs>
              <w:rPr>
                <w:b/>
                <w:sz w:val="20"/>
                <w:szCs w:val="20"/>
              </w:rPr>
            </w:pPr>
            <w:r w:rsidRPr="00A840F3">
              <w:rPr>
                <w:b/>
                <w:sz w:val="20"/>
                <w:szCs w:val="20"/>
              </w:rPr>
              <w:t>EASE</w:t>
            </w:r>
          </w:p>
        </w:tc>
        <w:tc>
          <w:tcPr>
            <w:tcW w:w="1770" w:type="dxa"/>
            <w:shd w:val="clear" w:color="auto" w:fill="auto"/>
          </w:tcPr>
          <w:p w:rsidR="00075841" w:rsidRDefault="00075841" w:rsidP="00A22F34">
            <w:pPr>
              <w:rPr>
                <w:b/>
                <w:sz w:val="18"/>
                <w:szCs w:val="18"/>
              </w:rPr>
            </w:pPr>
          </w:p>
          <w:p w:rsidR="00075841" w:rsidRPr="00A840F3" w:rsidRDefault="00075841" w:rsidP="00A22F34">
            <w:pPr>
              <w:rPr>
                <w:b/>
                <w:sz w:val="18"/>
                <w:szCs w:val="18"/>
              </w:rPr>
            </w:pPr>
            <w:r w:rsidRPr="00A840F3">
              <w:rPr>
                <w:b/>
                <w:sz w:val="18"/>
                <w:szCs w:val="18"/>
              </w:rPr>
              <w:t>Simple to complex</w:t>
            </w:r>
          </w:p>
        </w:tc>
        <w:tc>
          <w:tcPr>
            <w:tcW w:w="1771" w:type="dxa"/>
            <w:shd w:val="clear" w:color="auto" w:fill="auto"/>
          </w:tcPr>
          <w:p w:rsidR="00075841" w:rsidRPr="00A840F3" w:rsidRDefault="00075841" w:rsidP="00A22F34">
            <w:pPr>
              <w:rPr>
                <w:sz w:val="18"/>
                <w:szCs w:val="18"/>
              </w:rPr>
            </w:pPr>
          </w:p>
          <w:p w:rsidR="00075841" w:rsidRPr="00A840F3" w:rsidRDefault="00075841" w:rsidP="00A22F34">
            <w:pPr>
              <w:rPr>
                <w:b/>
                <w:sz w:val="18"/>
                <w:szCs w:val="18"/>
              </w:rPr>
            </w:pPr>
            <w:r w:rsidRPr="00A840F3">
              <w:rPr>
                <w:b/>
                <w:sz w:val="18"/>
                <w:szCs w:val="18"/>
              </w:rPr>
              <w:t>Complex</w:t>
            </w:r>
          </w:p>
        </w:tc>
        <w:tc>
          <w:tcPr>
            <w:tcW w:w="1771" w:type="dxa"/>
            <w:shd w:val="clear" w:color="auto" w:fill="auto"/>
          </w:tcPr>
          <w:p w:rsidR="00075841" w:rsidRPr="00A840F3" w:rsidRDefault="00075841" w:rsidP="00A22F34">
            <w:pPr>
              <w:rPr>
                <w:sz w:val="18"/>
                <w:szCs w:val="18"/>
              </w:rPr>
            </w:pPr>
          </w:p>
          <w:p w:rsidR="00075841" w:rsidRPr="00A840F3" w:rsidRDefault="00075841" w:rsidP="00A22F34">
            <w:pPr>
              <w:rPr>
                <w:b/>
                <w:sz w:val="18"/>
                <w:szCs w:val="18"/>
              </w:rPr>
            </w:pPr>
            <w:r w:rsidRPr="00A840F3">
              <w:rPr>
                <w:b/>
                <w:sz w:val="18"/>
                <w:szCs w:val="18"/>
              </w:rPr>
              <w:t xml:space="preserve">Complex </w:t>
            </w:r>
            <w:r w:rsidRPr="00A840F3">
              <w:rPr>
                <w:sz w:val="18"/>
                <w:szCs w:val="18"/>
              </w:rPr>
              <w:t>with many technical rules</w:t>
            </w:r>
          </w:p>
        </w:tc>
        <w:tc>
          <w:tcPr>
            <w:tcW w:w="2091" w:type="dxa"/>
            <w:shd w:val="clear" w:color="auto" w:fill="auto"/>
          </w:tcPr>
          <w:p w:rsidR="00075841" w:rsidRPr="00A840F3" w:rsidRDefault="00075841" w:rsidP="00A22F34">
            <w:pPr>
              <w:rPr>
                <w:sz w:val="18"/>
                <w:szCs w:val="18"/>
              </w:rPr>
            </w:pPr>
          </w:p>
          <w:p w:rsidR="00075841" w:rsidRPr="00A840F3" w:rsidRDefault="00075841" w:rsidP="00A22F34">
            <w:pPr>
              <w:rPr>
                <w:sz w:val="18"/>
                <w:szCs w:val="18"/>
              </w:rPr>
            </w:pPr>
            <w:r w:rsidRPr="00A840F3">
              <w:rPr>
                <w:b/>
                <w:sz w:val="18"/>
                <w:szCs w:val="18"/>
              </w:rPr>
              <w:t>Complex</w:t>
            </w:r>
            <w:r w:rsidRPr="00A840F3">
              <w:rPr>
                <w:sz w:val="18"/>
                <w:szCs w:val="18"/>
              </w:rPr>
              <w:t xml:space="preserve"> with many technical rules.</w:t>
            </w:r>
          </w:p>
        </w:tc>
      </w:tr>
      <w:tr w:rsidR="00075841" w:rsidTr="00075841">
        <w:tc>
          <w:tcPr>
            <w:tcW w:w="1772" w:type="dxa"/>
            <w:shd w:val="clear" w:color="auto" w:fill="auto"/>
          </w:tcPr>
          <w:p w:rsidR="00075841" w:rsidRPr="00A840F3" w:rsidRDefault="00075841" w:rsidP="00A22F34">
            <w:pPr>
              <w:tabs>
                <w:tab w:val="left" w:pos="180"/>
                <w:tab w:val="left" w:pos="735"/>
              </w:tabs>
              <w:rPr>
                <w:b/>
                <w:sz w:val="20"/>
                <w:szCs w:val="20"/>
              </w:rPr>
            </w:pPr>
            <w:r w:rsidRPr="00A840F3">
              <w:rPr>
                <w:b/>
                <w:sz w:val="20"/>
                <w:szCs w:val="20"/>
              </w:rPr>
              <w:t>EXTENT OF PROFESSIONAL SERVICES REQUIRED.</w:t>
            </w:r>
          </w:p>
        </w:tc>
        <w:tc>
          <w:tcPr>
            <w:tcW w:w="1770" w:type="dxa"/>
            <w:shd w:val="clear" w:color="auto" w:fill="auto"/>
          </w:tcPr>
          <w:p w:rsidR="00075841" w:rsidRPr="00A840F3" w:rsidRDefault="00075841" w:rsidP="00A22F34">
            <w:pPr>
              <w:rPr>
                <w:sz w:val="18"/>
                <w:szCs w:val="18"/>
              </w:rPr>
            </w:pPr>
            <w:r w:rsidRPr="00A840F3">
              <w:rPr>
                <w:sz w:val="18"/>
                <w:szCs w:val="18"/>
              </w:rPr>
              <w:t xml:space="preserve">Sometimes negotiated by taxpayer by telephone at time tax return filed. May be requested online by form or by taxpayer </w:t>
            </w:r>
            <w:r>
              <w:rPr>
                <w:sz w:val="18"/>
                <w:szCs w:val="18"/>
              </w:rPr>
              <w:t xml:space="preserve">or representative </w:t>
            </w:r>
            <w:r w:rsidRPr="00A840F3">
              <w:rPr>
                <w:sz w:val="18"/>
                <w:szCs w:val="18"/>
              </w:rPr>
              <w:t>after assessment with ACS or Revenue Officer.</w:t>
            </w:r>
          </w:p>
        </w:tc>
        <w:tc>
          <w:tcPr>
            <w:tcW w:w="1771" w:type="dxa"/>
            <w:shd w:val="clear" w:color="auto" w:fill="auto"/>
          </w:tcPr>
          <w:p w:rsidR="00075841" w:rsidRPr="00A840F3" w:rsidRDefault="00075841" w:rsidP="00A22F34">
            <w:pPr>
              <w:rPr>
                <w:sz w:val="18"/>
                <w:szCs w:val="18"/>
              </w:rPr>
            </w:pPr>
            <w:r w:rsidRPr="00A840F3">
              <w:rPr>
                <w:sz w:val="18"/>
                <w:szCs w:val="18"/>
              </w:rPr>
              <w:t xml:space="preserve">May be negotiated by taxpayer but usually professional needed. </w:t>
            </w:r>
            <w:r>
              <w:rPr>
                <w:sz w:val="18"/>
                <w:szCs w:val="18"/>
              </w:rPr>
              <w:t>Extensive documentation required. High failure rate.</w:t>
            </w:r>
          </w:p>
        </w:tc>
        <w:tc>
          <w:tcPr>
            <w:tcW w:w="1771" w:type="dxa"/>
            <w:shd w:val="clear" w:color="auto" w:fill="auto"/>
          </w:tcPr>
          <w:p w:rsidR="00075841" w:rsidRPr="00A840F3" w:rsidRDefault="00075841" w:rsidP="00A22F34">
            <w:pPr>
              <w:rPr>
                <w:sz w:val="18"/>
                <w:szCs w:val="18"/>
              </w:rPr>
            </w:pPr>
            <w:r w:rsidRPr="00A840F3">
              <w:rPr>
                <w:sz w:val="18"/>
                <w:szCs w:val="18"/>
              </w:rPr>
              <w:t>Usually requires bankruptcy attorney experienced in tax matters. Sometimes taxpayer will attempt on own.</w:t>
            </w:r>
          </w:p>
        </w:tc>
        <w:tc>
          <w:tcPr>
            <w:tcW w:w="2091" w:type="dxa"/>
            <w:shd w:val="clear" w:color="auto" w:fill="auto"/>
          </w:tcPr>
          <w:p w:rsidR="00075841" w:rsidRPr="00A840F3" w:rsidRDefault="00075841" w:rsidP="00A22F34">
            <w:pPr>
              <w:rPr>
                <w:sz w:val="18"/>
                <w:szCs w:val="18"/>
              </w:rPr>
            </w:pPr>
            <w:r w:rsidRPr="00A840F3">
              <w:rPr>
                <w:sz w:val="18"/>
                <w:szCs w:val="18"/>
              </w:rPr>
              <w:t>Should require bankruptcy attorney experienced in tax matters. Sometimes taxpayers will attempt pro-se.</w:t>
            </w:r>
          </w:p>
        </w:tc>
      </w:tr>
      <w:tr w:rsidR="00075841" w:rsidTr="00075841">
        <w:tc>
          <w:tcPr>
            <w:tcW w:w="1772" w:type="dxa"/>
            <w:shd w:val="clear" w:color="auto" w:fill="auto"/>
          </w:tcPr>
          <w:p w:rsidR="00075841" w:rsidRPr="00A840F3" w:rsidRDefault="00075841" w:rsidP="00A22F34">
            <w:pPr>
              <w:tabs>
                <w:tab w:val="left" w:pos="180"/>
                <w:tab w:val="left" w:pos="735"/>
              </w:tabs>
              <w:rPr>
                <w:b/>
                <w:sz w:val="20"/>
                <w:szCs w:val="20"/>
              </w:rPr>
            </w:pPr>
            <w:r w:rsidRPr="00A840F3">
              <w:rPr>
                <w:b/>
                <w:sz w:val="20"/>
                <w:szCs w:val="20"/>
              </w:rPr>
              <w:t>TOTAL AMOUNT REQUIRED TO BE PAID BY TAXPAYER</w:t>
            </w:r>
          </w:p>
        </w:tc>
        <w:tc>
          <w:tcPr>
            <w:tcW w:w="1770" w:type="dxa"/>
            <w:shd w:val="clear" w:color="auto" w:fill="auto"/>
          </w:tcPr>
          <w:p w:rsidR="00075841" w:rsidRPr="00A840F3" w:rsidRDefault="00075841" w:rsidP="00A22F34">
            <w:pPr>
              <w:rPr>
                <w:b/>
                <w:sz w:val="18"/>
                <w:szCs w:val="18"/>
              </w:rPr>
            </w:pPr>
            <w:r w:rsidRPr="00A840F3">
              <w:rPr>
                <w:sz w:val="18"/>
                <w:szCs w:val="18"/>
              </w:rPr>
              <w:t xml:space="preserve">Interest on tax and penalties continue to accrue until tax and penalties are fully paid. </w:t>
            </w:r>
            <w:r w:rsidRPr="00A840F3">
              <w:rPr>
                <w:b/>
                <w:sz w:val="18"/>
                <w:szCs w:val="18"/>
                <w:u w:val="single"/>
              </w:rPr>
              <w:t xml:space="preserve">IRS MAY FILE LIEN WHICH CAN HAVE DISASTROUS EFFECT ON BANKRUPTCY. </w:t>
            </w:r>
            <w:r w:rsidRPr="00A840F3">
              <w:rPr>
                <w:b/>
                <w:sz w:val="18"/>
                <w:szCs w:val="18"/>
              </w:rPr>
              <w:t>Usually most expensive method.</w:t>
            </w:r>
          </w:p>
        </w:tc>
        <w:tc>
          <w:tcPr>
            <w:tcW w:w="1771" w:type="dxa"/>
            <w:shd w:val="clear" w:color="auto" w:fill="auto"/>
          </w:tcPr>
          <w:p w:rsidR="00075841" w:rsidRPr="00A840F3" w:rsidRDefault="00075841" w:rsidP="00A22F34">
            <w:pPr>
              <w:rPr>
                <w:sz w:val="18"/>
                <w:szCs w:val="18"/>
              </w:rPr>
            </w:pPr>
            <w:r w:rsidRPr="00A840F3">
              <w:rPr>
                <w:sz w:val="18"/>
                <w:szCs w:val="18"/>
              </w:rPr>
              <w:t xml:space="preserve">Payment of offer upon acceptance is payment in full unless collateral agreement requires additional payments. Collateral agreement relatively rare. Amount of offer if based on doubt of collectability is total of net equity in assets plus 12 months available income if lump sum or 24 months </w:t>
            </w:r>
            <w:r w:rsidRPr="00A840F3">
              <w:rPr>
                <w:sz w:val="18"/>
                <w:szCs w:val="18"/>
              </w:rPr>
              <w:lastRenderedPageBreak/>
              <w:t>available income</w:t>
            </w:r>
            <w:r>
              <w:rPr>
                <w:sz w:val="18"/>
                <w:szCs w:val="18"/>
              </w:rPr>
              <w:t xml:space="preserve"> and net equity in assets</w:t>
            </w:r>
            <w:r w:rsidRPr="00A840F3">
              <w:rPr>
                <w:sz w:val="18"/>
                <w:szCs w:val="18"/>
              </w:rPr>
              <w:t xml:space="preserve"> if periodic payment plus filing fee.</w:t>
            </w:r>
          </w:p>
        </w:tc>
        <w:tc>
          <w:tcPr>
            <w:tcW w:w="1771" w:type="dxa"/>
            <w:shd w:val="clear" w:color="auto" w:fill="auto"/>
          </w:tcPr>
          <w:p w:rsidR="00075841" w:rsidRPr="00A840F3" w:rsidRDefault="00075841" w:rsidP="00A22F34">
            <w:pPr>
              <w:rPr>
                <w:sz w:val="18"/>
                <w:szCs w:val="18"/>
              </w:rPr>
            </w:pPr>
            <w:r w:rsidRPr="00A840F3">
              <w:rPr>
                <w:sz w:val="18"/>
                <w:szCs w:val="18"/>
              </w:rPr>
              <w:lastRenderedPageBreak/>
              <w:t xml:space="preserve">Taxes may be discharged if no longer have priority status and not secured by lien and not SFR. Priority status if tax less than 3 years old. </w:t>
            </w:r>
            <w:r>
              <w:rPr>
                <w:sz w:val="18"/>
                <w:szCs w:val="18"/>
              </w:rPr>
              <w:t>Nondischargeable</w:t>
            </w:r>
            <w:r w:rsidRPr="00A840F3">
              <w:rPr>
                <w:sz w:val="18"/>
                <w:szCs w:val="18"/>
              </w:rPr>
              <w:t xml:space="preserve"> status if taxes filed less than 2 years or priority status exists if assessed within 240 days of filing petition.</w:t>
            </w:r>
          </w:p>
        </w:tc>
        <w:tc>
          <w:tcPr>
            <w:tcW w:w="2091" w:type="dxa"/>
            <w:shd w:val="clear" w:color="auto" w:fill="auto"/>
          </w:tcPr>
          <w:p w:rsidR="00075841" w:rsidRPr="00A840F3" w:rsidRDefault="00075841" w:rsidP="00A22F34">
            <w:pPr>
              <w:rPr>
                <w:sz w:val="18"/>
                <w:szCs w:val="18"/>
              </w:rPr>
            </w:pPr>
            <w:r w:rsidRPr="00A840F3">
              <w:rPr>
                <w:sz w:val="18"/>
                <w:szCs w:val="18"/>
              </w:rPr>
              <w:t>Priority tax and prepetition interest may be paid in installments</w:t>
            </w:r>
            <w:r>
              <w:rPr>
                <w:sz w:val="18"/>
                <w:szCs w:val="18"/>
              </w:rPr>
              <w:t xml:space="preserve"> in plan</w:t>
            </w:r>
            <w:r w:rsidRPr="00A840F3">
              <w:rPr>
                <w:sz w:val="18"/>
                <w:szCs w:val="18"/>
              </w:rPr>
              <w:t xml:space="preserve"> and 100% must be paid. May be paid in payments over not </w:t>
            </w:r>
            <w:r>
              <w:rPr>
                <w:sz w:val="18"/>
                <w:szCs w:val="18"/>
              </w:rPr>
              <w:t xml:space="preserve">plan </w:t>
            </w:r>
            <w:r w:rsidRPr="00A840F3">
              <w:rPr>
                <w:sz w:val="18"/>
                <w:szCs w:val="18"/>
              </w:rPr>
              <w:t>more than 60 months.</w:t>
            </w:r>
          </w:p>
          <w:p w:rsidR="00075841" w:rsidRPr="00A840F3" w:rsidRDefault="00075841" w:rsidP="00A22F34">
            <w:pPr>
              <w:rPr>
                <w:sz w:val="18"/>
                <w:szCs w:val="18"/>
              </w:rPr>
            </w:pPr>
            <w:r w:rsidRPr="00A840F3">
              <w:rPr>
                <w:sz w:val="18"/>
                <w:szCs w:val="18"/>
              </w:rPr>
              <w:t xml:space="preserve">Post-petition interest and penalties on prepetition penalty discharged </w:t>
            </w:r>
            <w:r>
              <w:rPr>
                <w:sz w:val="18"/>
                <w:szCs w:val="18"/>
              </w:rPr>
              <w:t>if tax discharged. Unsecured por</w:t>
            </w:r>
            <w:r w:rsidRPr="00A840F3">
              <w:rPr>
                <w:sz w:val="18"/>
                <w:szCs w:val="18"/>
              </w:rPr>
              <w:t>tion may be paid fraction</w:t>
            </w:r>
            <w:r>
              <w:rPr>
                <w:sz w:val="18"/>
                <w:szCs w:val="18"/>
              </w:rPr>
              <w:t xml:space="preserve"> depending on plan</w:t>
            </w:r>
            <w:r w:rsidRPr="00A840F3">
              <w:rPr>
                <w:sz w:val="18"/>
                <w:szCs w:val="18"/>
              </w:rPr>
              <w:t>.</w:t>
            </w:r>
            <w:r>
              <w:rPr>
                <w:sz w:val="18"/>
                <w:szCs w:val="18"/>
              </w:rPr>
              <w:t xml:space="preserve"> Prepetition </w:t>
            </w:r>
            <w:r w:rsidRPr="00A840F3">
              <w:rPr>
                <w:sz w:val="18"/>
                <w:szCs w:val="18"/>
              </w:rPr>
              <w:t xml:space="preserve">Filing of lien on taxpayer’s </w:t>
            </w:r>
            <w:r w:rsidRPr="00A840F3">
              <w:rPr>
                <w:sz w:val="18"/>
                <w:szCs w:val="18"/>
              </w:rPr>
              <w:lastRenderedPageBreak/>
              <w:t>property makes IRS secured creditor &amp; subjects taxpayer to post-petition interest. See Bankruptcy Code.</w:t>
            </w:r>
            <w:r>
              <w:rPr>
                <w:sz w:val="18"/>
                <w:szCs w:val="18"/>
              </w:rPr>
              <w:t xml:space="preserve"> See Judge.</w:t>
            </w:r>
          </w:p>
        </w:tc>
      </w:tr>
      <w:tr w:rsidR="00075841" w:rsidTr="00075841">
        <w:tc>
          <w:tcPr>
            <w:tcW w:w="1772" w:type="dxa"/>
            <w:shd w:val="clear" w:color="auto" w:fill="auto"/>
          </w:tcPr>
          <w:p w:rsidR="00075841" w:rsidRPr="00A840F3" w:rsidRDefault="00075841" w:rsidP="00A22F34">
            <w:pPr>
              <w:tabs>
                <w:tab w:val="left" w:pos="180"/>
                <w:tab w:val="left" w:pos="735"/>
              </w:tabs>
              <w:rPr>
                <w:b/>
                <w:sz w:val="20"/>
                <w:szCs w:val="20"/>
              </w:rPr>
            </w:pPr>
            <w:r w:rsidRPr="00A840F3">
              <w:rPr>
                <w:b/>
                <w:sz w:val="20"/>
                <w:szCs w:val="20"/>
              </w:rPr>
              <w:lastRenderedPageBreak/>
              <w:t>STABILITY OF METHOD AND TOTAL AMOUNT REQUIRED BE PAID</w:t>
            </w:r>
          </w:p>
        </w:tc>
        <w:tc>
          <w:tcPr>
            <w:tcW w:w="1770" w:type="dxa"/>
            <w:shd w:val="clear" w:color="auto" w:fill="auto"/>
          </w:tcPr>
          <w:p w:rsidR="00075841" w:rsidRPr="00A840F3" w:rsidRDefault="00075841" w:rsidP="00A22F34">
            <w:pPr>
              <w:rPr>
                <w:sz w:val="18"/>
                <w:szCs w:val="18"/>
              </w:rPr>
            </w:pPr>
            <w:r w:rsidRPr="00A840F3">
              <w:rPr>
                <w:sz w:val="18"/>
                <w:szCs w:val="18"/>
              </w:rPr>
              <w:t xml:space="preserve">IRS may </w:t>
            </w:r>
            <w:r w:rsidRPr="00A840F3">
              <w:rPr>
                <w:sz w:val="18"/>
                <w:szCs w:val="18"/>
                <w:u w:val="single"/>
              </w:rPr>
              <w:t>withdraw and renegotiate</w:t>
            </w:r>
            <w:r w:rsidRPr="00A840F3">
              <w:rPr>
                <w:sz w:val="18"/>
                <w:szCs w:val="18"/>
              </w:rPr>
              <w:t xml:space="preserve"> as taxpayer’s circumstances change, and periodically IRS will ask for updated information. IRS will take enforced action if taxpayer does not act timely in payment of installments, submission of financial statement o</w:t>
            </w:r>
            <w:r>
              <w:rPr>
                <w:sz w:val="18"/>
                <w:szCs w:val="18"/>
              </w:rPr>
              <w:t>r</w:t>
            </w:r>
            <w:r w:rsidRPr="00A840F3">
              <w:rPr>
                <w:sz w:val="18"/>
                <w:szCs w:val="18"/>
              </w:rPr>
              <w:t xml:space="preserve"> filing tax timely. Fee of $43. Harder to reinstate.</w:t>
            </w:r>
          </w:p>
        </w:tc>
        <w:tc>
          <w:tcPr>
            <w:tcW w:w="1771" w:type="dxa"/>
            <w:shd w:val="clear" w:color="auto" w:fill="auto"/>
          </w:tcPr>
          <w:p w:rsidR="00075841" w:rsidRPr="00A840F3" w:rsidRDefault="00075841" w:rsidP="00A22F34">
            <w:pPr>
              <w:rPr>
                <w:sz w:val="18"/>
                <w:szCs w:val="18"/>
              </w:rPr>
            </w:pPr>
            <w:r w:rsidRPr="00A840F3">
              <w:rPr>
                <w:sz w:val="18"/>
                <w:szCs w:val="18"/>
              </w:rPr>
              <w:t>Once accepted, a binding contract has been entered into and both parties have been bound. Terms of offer requires full compliance with estimated tax and filing requirements for 5 years after acceptance. Taxpayer who breaches 5-year compliance has original liability reassessed and interest and penalty accrued to date.</w:t>
            </w:r>
          </w:p>
        </w:tc>
        <w:tc>
          <w:tcPr>
            <w:tcW w:w="1771" w:type="dxa"/>
            <w:shd w:val="clear" w:color="auto" w:fill="auto"/>
          </w:tcPr>
          <w:p w:rsidR="00075841" w:rsidRPr="00A840F3" w:rsidRDefault="00075841" w:rsidP="00A22F34">
            <w:pPr>
              <w:rPr>
                <w:sz w:val="18"/>
                <w:szCs w:val="18"/>
              </w:rPr>
            </w:pPr>
            <w:r w:rsidRPr="00A840F3">
              <w:rPr>
                <w:sz w:val="18"/>
                <w:szCs w:val="18"/>
              </w:rPr>
              <w:t xml:space="preserve">Taxes eligible for discharge are discharged with bankruptcy court’s order of general discharge. IRS may dispute whether tax year has been discharged. Method is very stable. Will not discharge 100% penalty. </w:t>
            </w:r>
            <w:r>
              <w:rPr>
                <w:sz w:val="18"/>
                <w:szCs w:val="18"/>
              </w:rPr>
              <w:t>Won’t</w:t>
            </w:r>
            <w:r w:rsidRPr="00A840F3">
              <w:rPr>
                <w:sz w:val="18"/>
                <w:szCs w:val="18"/>
              </w:rPr>
              <w:t xml:space="preserve"> discharge other penalties if tax cannot be discharged. Fraud and evasion exceptions. Adversary may be needed.</w:t>
            </w:r>
          </w:p>
        </w:tc>
        <w:tc>
          <w:tcPr>
            <w:tcW w:w="2091" w:type="dxa"/>
            <w:shd w:val="clear" w:color="auto" w:fill="auto"/>
          </w:tcPr>
          <w:p w:rsidR="00075841" w:rsidRPr="00A840F3" w:rsidRDefault="00075841" w:rsidP="00A22F34">
            <w:pPr>
              <w:rPr>
                <w:sz w:val="16"/>
                <w:szCs w:val="16"/>
              </w:rPr>
            </w:pPr>
            <w:r w:rsidRPr="00A840F3">
              <w:rPr>
                <w:sz w:val="18"/>
                <w:szCs w:val="18"/>
              </w:rPr>
              <w:t>Taxes, interest and penalty are discharged if not priority and plan is completed. Once plan is confirmed, debtor must fail to pay or fail to periodically report business income for plan to be dismissed. Very Stable; however, taxpayer may default and be in original condition less payments. May be used for 100% penalty</w:t>
            </w:r>
          </w:p>
        </w:tc>
      </w:tr>
      <w:tr w:rsidR="00075841" w:rsidTr="00075841">
        <w:tc>
          <w:tcPr>
            <w:tcW w:w="1772" w:type="dxa"/>
            <w:shd w:val="clear" w:color="auto" w:fill="auto"/>
          </w:tcPr>
          <w:p w:rsidR="00075841" w:rsidRPr="00A840F3" w:rsidRDefault="00075841" w:rsidP="00A22F34">
            <w:pPr>
              <w:tabs>
                <w:tab w:val="left" w:pos="180"/>
                <w:tab w:val="left" w:pos="735"/>
              </w:tabs>
              <w:rPr>
                <w:b/>
                <w:sz w:val="20"/>
                <w:szCs w:val="20"/>
              </w:rPr>
            </w:pPr>
            <w:r w:rsidRPr="00A840F3">
              <w:rPr>
                <w:b/>
                <w:sz w:val="20"/>
                <w:szCs w:val="20"/>
              </w:rPr>
              <w:t>LEGAL AND ACCOUNTING COST FOR CLIENT</w:t>
            </w:r>
          </w:p>
        </w:tc>
        <w:tc>
          <w:tcPr>
            <w:tcW w:w="1770" w:type="dxa"/>
            <w:shd w:val="clear" w:color="auto" w:fill="auto"/>
          </w:tcPr>
          <w:p w:rsidR="00075841" w:rsidRPr="00A840F3" w:rsidRDefault="00075841" w:rsidP="00A22F34">
            <w:pPr>
              <w:rPr>
                <w:sz w:val="16"/>
                <w:szCs w:val="16"/>
              </w:rPr>
            </w:pPr>
            <w:r w:rsidRPr="00A840F3">
              <w:rPr>
                <w:sz w:val="16"/>
                <w:szCs w:val="16"/>
              </w:rPr>
              <w:t>Least cost for professional time. However reinstatement of installment agreement may require significant time. Default may require extensive cost.</w:t>
            </w:r>
            <w:r>
              <w:rPr>
                <w:sz w:val="16"/>
                <w:szCs w:val="16"/>
              </w:rPr>
              <w:t xml:space="preserve"> Large dollar cases may be more expensive.</w:t>
            </w:r>
          </w:p>
        </w:tc>
        <w:tc>
          <w:tcPr>
            <w:tcW w:w="1771" w:type="dxa"/>
            <w:shd w:val="clear" w:color="auto" w:fill="auto"/>
          </w:tcPr>
          <w:p w:rsidR="00075841" w:rsidRPr="00A840F3" w:rsidRDefault="00075841" w:rsidP="00A22F34">
            <w:pPr>
              <w:rPr>
                <w:sz w:val="16"/>
                <w:szCs w:val="16"/>
              </w:rPr>
            </w:pPr>
            <w:r w:rsidRPr="00A840F3">
              <w:rPr>
                <w:sz w:val="16"/>
                <w:szCs w:val="16"/>
              </w:rPr>
              <w:t xml:space="preserve">Time consuming and therefore expensive method. Acceptance by IRS </w:t>
            </w:r>
            <w:r>
              <w:rPr>
                <w:sz w:val="16"/>
                <w:szCs w:val="16"/>
              </w:rPr>
              <w:t xml:space="preserve">may be </w:t>
            </w:r>
            <w:r w:rsidRPr="00A840F3">
              <w:rPr>
                <w:sz w:val="16"/>
                <w:szCs w:val="16"/>
              </w:rPr>
              <w:t xml:space="preserve">doubtful, and this </w:t>
            </w:r>
            <w:r>
              <w:rPr>
                <w:sz w:val="16"/>
                <w:szCs w:val="16"/>
              </w:rPr>
              <w:t xml:space="preserve">should </w:t>
            </w:r>
            <w:r w:rsidRPr="00A840F3">
              <w:rPr>
                <w:sz w:val="16"/>
                <w:szCs w:val="16"/>
              </w:rPr>
              <w:t>be considered as part of cost.</w:t>
            </w:r>
            <w:r>
              <w:rPr>
                <w:sz w:val="16"/>
                <w:szCs w:val="16"/>
              </w:rPr>
              <w:t xml:space="preserve"> Payments normally applied by IRS if denied or returned.</w:t>
            </w:r>
          </w:p>
        </w:tc>
        <w:tc>
          <w:tcPr>
            <w:tcW w:w="1771" w:type="dxa"/>
            <w:shd w:val="clear" w:color="auto" w:fill="auto"/>
          </w:tcPr>
          <w:p w:rsidR="00075841" w:rsidRPr="00A840F3" w:rsidRDefault="00075841" w:rsidP="00A22F34">
            <w:pPr>
              <w:rPr>
                <w:sz w:val="16"/>
                <w:szCs w:val="16"/>
              </w:rPr>
            </w:pPr>
            <w:r w:rsidRPr="00A840F3">
              <w:rPr>
                <w:sz w:val="16"/>
                <w:szCs w:val="16"/>
              </w:rPr>
              <w:t>Professional time may be fairly significant. Filing fee is normal $325 for Ch. 7</w:t>
            </w:r>
          </w:p>
        </w:tc>
        <w:tc>
          <w:tcPr>
            <w:tcW w:w="2091" w:type="dxa"/>
            <w:shd w:val="clear" w:color="auto" w:fill="auto"/>
          </w:tcPr>
          <w:p w:rsidR="00075841" w:rsidRPr="00A840F3" w:rsidRDefault="00075841" w:rsidP="00A22F34">
            <w:pPr>
              <w:rPr>
                <w:sz w:val="16"/>
                <w:szCs w:val="16"/>
              </w:rPr>
            </w:pPr>
            <w:r>
              <w:rPr>
                <w:sz w:val="16"/>
                <w:szCs w:val="16"/>
              </w:rPr>
              <w:t>Professional responsibility for Ch. 13 is extensive and can be higher than no look fees</w:t>
            </w:r>
            <w:r w:rsidRPr="00A840F3">
              <w:rPr>
                <w:sz w:val="16"/>
                <w:szCs w:val="16"/>
              </w:rPr>
              <w:t>. Filing fee is $310.</w:t>
            </w:r>
          </w:p>
        </w:tc>
      </w:tr>
    </w:tbl>
    <w:p w:rsidR="00075841" w:rsidRPr="00560B10" w:rsidRDefault="00075841" w:rsidP="00075841">
      <w:pPr>
        <w:rPr>
          <w:b/>
          <w:sz w:val="18"/>
          <w:szCs w:val="18"/>
          <w:u w:val="single"/>
        </w:rPr>
      </w:pPr>
    </w:p>
    <w:tbl>
      <w:tblPr>
        <w:tblStyle w:val="TableGrid"/>
        <w:tblW w:w="0" w:type="auto"/>
        <w:tblLook w:val="01E0" w:firstRow="1" w:lastRow="1" w:firstColumn="1" w:lastColumn="1" w:noHBand="0" w:noVBand="0"/>
      </w:tblPr>
      <w:tblGrid>
        <w:gridCol w:w="1843"/>
        <w:gridCol w:w="1843"/>
        <w:gridCol w:w="1843"/>
        <w:gridCol w:w="1843"/>
        <w:gridCol w:w="1844"/>
      </w:tblGrid>
      <w:tr w:rsidR="00075841" w:rsidTr="00A22F34">
        <w:tc>
          <w:tcPr>
            <w:tcW w:w="1843" w:type="dxa"/>
          </w:tcPr>
          <w:p w:rsidR="00075841" w:rsidRDefault="00075841" w:rsidP="00A22F34">
            <w:pPr>
              <w:rPr>
                <w:b/>
                <w:sz w:val="18"/>
                <w:szCs w:val="18"/>
                <w:u w:val="single"/>
              </w:rPr>
            </w:pPr>
          </w:p>
        </w:tc>
        <w:tc>
          <w:tcPr>
            <w:tcW w:w="1843" w:type="dxa"/>
          </w:tcPr>
          <w:p w:rsidR="00075841" w:rsidRPr="00560B10" w:rsidRDefault="00075841" w:rsidP="00A22F34">
            <w:pPr>
              <w:rPr>
                <w:b/>
              </w:rPr>
            </w:pPr>
            <w:r>
              <w:rPr>
                <w:b/>
              </w:rPr>
              <w:t>Installment Agreement</w:t>
            </w:r>
          </w:p>
        </w:tc>
        <w:tc>
          <w:tcPr>
            <w:tcW w:w="1843" w:type="dxa"/>
          </w:tcPr>
          <w:p w:rsidR="00075841" w:rsidRPr="00560B10" w:rsidRDefault="00075841" w:rsidP="00A22F34">
            <w:pPr>
              <w:rPr>
                <w:b/>
                <w:sz w:val="18"/>
                <w:szCs w:val="18"/>
              </w:rPr>
            </w:pPr>
            <w:r>
              <w:rPr>
                <w:b/>
                <w:sz w:val="18"/>
                <w:szCs w:val="18"/>
              </w:rPr>
              <w:t>Offer in Compromise</w:t>
            </w:r>
          </w:p>
        </w:tc>
        <w:tc>
          <w:tcPr>
            <w:tcW w:w="1843" w:type="dxa"/>
          </w:tcPr>
          <w:p w:rsidR="00075841" w:rsidRPr="00560B10" w:rsidRDefault="00075841" w:rsidP="00A22F34">
            <w:pPr>
              <w:rPr>
                <w:b/>
                <w:sz w:val="18"/>
                <w:szCs w:val="18"/>
              </w:rPr>
            </w:pPr>
            <w:r>
              <w:rPr>
                <w:b/>
                <w:sz w:val="18"/>
                <w:szCs w:val="18"/>
              </w:rPr>
              <w:t>Chapter 7 Bankruptcy</w:t>
            </w:r>
          </w:p>
        </w:tc>
        <w:tc>
          <w:tcPr>
            <w:tcW w:w="1844" w:type="dxa"/>
          </w:tcPr>
          <w:p w:rsidR="00075841" w:rsidRPr="00560B10" w:rsidRDefault="00075841" w:rsidP="00A22F34">
            <w:pPr>
              <w:rPr>
                <w:b/>
                <w:sz w:val="18"/>
                <w:szCs w:val="18"/>
              </w:rPr>
            </w:pPr>
            <w:r w:rsidRPr="00560B10">
              <w:rPr>
                <w:b/>
                <w:sz w:val="18"/>
                <w:szCs w:val="18"/>
              </w:rPr>
              <w:t>Chapter 13 Bankruptcy</w:t>
            </w:r>
          </w:p>
        </w:tc>
      </w:tr>
      <w:tr w:rsidR="00075841" w:rsidTr="00A22F34">
        <w:tc>
          <w:tcPr>
            <w:tcW w:w="1843" w:type="dxa"/>
          </w:tcPr>
          <w:p w:rsidR="00075841" w:rsidRDefault="00075841" w:rsidP="00A22F34">
            <w:pPr>
              <w:rPr>
                <w:b/>
                <w:sz w:val="18"/>
                <w:szCs w:val="18"/>
                <w:u w:val="single"/>
              </w:rPr>
            </w:pPr>
            <w:r>
              <w:rPr>
                <w:b/>
                <w:sz w:val="18"/>
                <w:szCs w:val="18"/>
                <w:u w:val="single"/>
              </w:rPr>
              <w:t>SUITABILITY FOR INDIVIDUAL</w:t>
            </w:r>
          </w:p>
        </w:tc>
        <w:tc>
          <w:tcPr>
            <w:tcW w:w="1843" w:type="dxa"/>
          </w:tcPr>
          <w:p w:rsidR="00075841" w:rsidRPr="00560B10" w:rsidRDefault="00075841" w:rsidP="00A22F34">
            <w:pPr>
              <w:rPr>
                <w:sz w:val="18"/>
                <w:szCs w:val="18"/>
              </w:rPr>
            </w:pPr>
            <w:r>
              <w:rPr>
                <w:b/>
                <w:sz w:val="18"/>
                <w:szCs w:val="18"/>
                <w:u w:val="single"/>
              </w:rPr>
              <w:t>Acceptable IF</w:t>
            </w:r>
            <w:r>
              <w:rPr>
                <w:sz w:val="18"/>
                <w:szCs w:val="18"/>
                <w:u w:val="single"/>
              </w:rPr>
              <w:t xml:space="preserve"> </w:t>
            </w:r>
            <w:r>
              <w:rPr>
                <w:sz w:val="18"/>
                <w:szCs w:val="18"/>
              </w:rPr>
              <w:t>taxpayer has no ability to pay or small amount is involved. Sometime only option.</w:t>
            </w:r>
          </w:p>
        </w:tc>
        <w:tc>
          <w:tcPr>
            <w:tcW w:w="1843" w:type="dxa"/>
          </w:tcPr>
          <w:p w:rsidR="00075841" w:rsidRPr="00560B10" w:rsidRDefault="00075841" w:rsidP="00A22F34">
            <w:pPr>
              <w:rPr>
                <w:sz w:val="18"/>
                <w:szCs w:val="18"/>
              </w:rPr>
            </w:pPr>
            <w:r>
              <w:rPr>
                <w:sz w:val="18"/>
                <w:szCs w:val="18"/>
              </w:rPr>
              <w:t xml:space="preserve">Usually </w:t>
            </w:r>
            <w:r>
              <w:rPr>
                <w:b/>
                <w:sz w:val="18"/>
                <w:szCs w:val="18"/>
              </w:rPr>
              <w:t>unsuitable</w:t>
            </w:r>
            <w:r>
              <w:rPr>
                <w:sz w:val="18"/>
                <w:szCs w:val="18"/>
              </w:rPr>
              <w:t xml:space="preserve"> due to high demands by IRS.</w:t>
            </w:r>
          </w:p>
        </w:tc>
        <w:tc>
          <w:tcPr>
            <w:tcW w:w="1843" w:type="dxa"/>
          </w:tcPr>
          <w:p w:rsidR="00075841" w:rsidRDefault="00075841" w:rsidP="00A22F34">
            <w:pPr>
              <w:rPr>
                <w:sz w:val="18"/>
                <w:szCs w:val="18"/>
              </w:rPr>
            </w:pPr>
            <w:r>
              <w:rPr>
                <w:b/>
                <w:sz w:val="18"/>
                <w:szCs w:val="18"/>
                <w:u w:val="single"/>
              </w:rPr>
              <w:t>Excellent</w:t>
            </w:r>
            <w:r>
              <w:rPr>
                <w:sz w:val="18"/>
                <w:szCs w:val="18"/>
              </w:rPr>
              <w:t xml:space="preserve"> if taxes are eligible for discharge.</w:t>
            </w:r>
          </w:p>
          <w:p w:rsidR="00075841" w:rsidRPr="00E0716A" w:rsidRDefault="00075841" w:rsidP="00A22F34">
            <w:pPr>
              <w:rPr>
                <w:sz w:val="18"/>
                <w:szCs w:val="18"/>
              </w:rPr>
            </w:pPr>
          </w:p>
        </w:tc>
        <w:tc>
          <w:tcPr>
            <w:tcW w:w="1844" w:type="dxa"/>
          </w:tcPr>
          <w:p w:rsidR="00075841" w:rsidRPr="00D440AA" w:rsidRDefault="00075841" w:rsidP="00A22F34">
            <w:pPr>
              <w:rPr>
                <w:sz w:val="18"/>
                <w:szCs w:val="18"/>
              </w:rPr>
            </w:pPr>
            <w:r>
              <w:rPr>
                <w:b/>
                <w:sz w:val="18"/>
                <w:szCs w:val="18"/>
                <w:u w:val="single"/>
              </w:rPr>
              <w:t xml:space="preserve">Excellent </w:t>
            </w:r>
            <w:r>
              <w:rPr>
                <w:sz w:val="18"/>
                <w:szCs w:val="18"/>
              </w:rPr>
              <w:t>if taxpayer can make payments. May allow discharge or reduction in penalties and interest.</w:t>
            </w:r>
          </w:p>
        </w:tc>
      </w:tr>
      <w:tr w:rsidR="00075841" w:rsidTr="00A22F34">
        <w:tc>
          <w:tcPr>
            <w:tcW w:w="1843" w:type="dxa"/>
          </w:tcPr>
          <w:p w:rsidR="00075841" w:rsidRDefault="00075841" w:rsidP="00A22F34">
            <w:pPr>
              <w:rPr>
                <w:b/>
                <w:sz w:val="18"/>
                <w:szCs w:val="18"/>
                <w:u w:val="single"/>
              </w:rPr>
            </w:pPr>
            <w:r>
              <w:rPr>
                <w:b/>
                <w:sz w:val="18"/>
                <w:szCs w:val="18"/>
                <w:u w:val="single"/>
              </w:rPr>
              <w:t>SUITABILITY FOR BUSINESS</w:t>
            </w:r>
          </w:p>
        </w:tc>
        <w:tc>
          <w:tcPr>
            <w:tcW w:w="1843" w:type="dxa"/>
          </w:tcPr>
          <w:p w:rsidR="00075841" w:rsidRPr="00560B10" w:rsidRDefault="00075841" w:rsidP="00A22F34">
            <w:pPr>
              <w:rPr>
                <w:sz w:val="18"/>
                <w:szCs w:val="18"/>
              </w:rPr>
            </w:pPr>
            <w:r>
              <w:rPr>
                <w:b/>
                <w:sz w:val="18"/>
                <w:szCs w:val="18"/>
              </w:rPr>
              <w:t>Poor but may be best option.</w:t>
            </w:r>
            <w:r>
              <w:rPr>
                <w:sz w:val="18"/>
                <w:szCs w:val="18"/>
              </w:rPr>
              <w:t xml:space="preserve"> Cash equipment and </w:t>
            </w:r>
            <w:r>
              <w:rPr>
                <w:sz w:val="18"/>
                <w:szCs w:val="18"/>
              </w:rPr>
              <w:lastRenderedPageBreak/>
              <w:t>inventory makes levy attractive. IRS will attack payroll debtor and typically allow short time for repayment. Required compliant with filing and deposit rules.</w:t>
            </w:r>
          </w:p>
        </w:tc>
        <w:tc>
          <w:tcPr>
            <w:tcW w:w="1843" w:type="dxa"/>
          </w:tcPr>
          <w:p w:rsidR="00075841" w:rsidRPr="00560B10" w:rsidRDefault="00075841" w:rsidP="00A22F34">
            <w:pPr>
              <w:rPr>
                <w:sz w:val="18"/>
                <w:szCs w:val="18"/>
              </w:rPr>
            </w:pPr>
            <w:r>
              <w:rPr>
                <w:b/>
                <w:sz w:val="18"/>
                <w:szCs w:val="18"/>
              </w:rPr>
              <w:lastRenderedPageBreak/>
              <w:t xml:space="preserve">Poor. </w:t>
            </w:r>
            <w:r>
              <w:rPr>
                <w:sz w:val="18"/>
                <w:szCs w:val="18"/>
              </w:rPr>
              <w:t xml:space="preserve">Calculation minimum offer requires payment of </w:t>
            </w:r>
            <w:r>
              <w:rPr>
                <w:sz w:val="18"/>
                <w:szCs w:val="18"/>
              </w:rPr>
              <w:lastRenderedPageBreak/>
              <w:t>value of business. IRS will not compromise payroll taxes if debtor is still in business unless compliant.</w:t>
            </w:r>
          </w:p>
        </w:tc>
        <w:tc>
          <w:tcPr>
            <w:tcW w:w="1843" w:type="dxa"/>
          </w:tcPr>
          <w:p w:rsidR="00075841" w:rsidRPr="00E0716A" w:rsidRDefault="00075841" w:rsidP="00A22F34">
            <w:pPr>
              <w:rPr>
                <w:sz w:val="18"/>
                <w:szCs w:val="18"/>
              </w:rPr>
            </w:pPr>
            <w:r>
              <w:rPr>
                <w:b/>
                <w:sz w:val="18"/>
                <w:szCs w:val="18"/>
                <w:u w:val="single"/>
              </w:rPr>
              <w:lastRenderedPageBreak/>
              <w:t xml:space="preserve">Very Good. </w:t>
            </w:r>
            <w:r>
              <w:rPr>
                <w:sz w:val="18"/>
                <w:szCs w:val="18"/>
              </w:rPr>
              <w:t xml:space="preserve">However, debtor frequently does not </w:t>
            </w:r>
            <w:r>
              <w:rPr>
                <w:sz w:val="18"/>
                <w:szCs w:val="18"/>
              </w:rPr>
              <w:lastRenderedPageBreak/>
              <w:t>want to surrender or liquidate business and other nonexempt assets. Advantage exists if service business with few assets. Will not discharge 100% penalty or priority taxes.</w:t>
            </w:r>
          </w:p>
        </w:tc>
        <w:tc>
          <w:tcPr>
            <w:tcW w:w="1844" w:type="dxa"/>
          </w:tcPr>
          <w:p w:rsidR="00075841" w:rsidRPr="00D440AA" w:rsidRDefault="00075841" w:rsidP="00A22F34">
            <w:pPr>
              <w:rPr>
                <w:sz w:val="18"/>
                <w:szCs w:val="18"/>
              </w:rPr>
            </w:pPr>
            <w:r>
              <w:rPr>
                <w:b/>
                <w:sz w:val="18"/>
                <w:szCs w:val="18"/>
                <w:u w:val="single"/>
              </w:rPr>
              <w:lastRenderedPageBreak/>
              <w:t xml:space="preserve">Now Excellent. </w:t>
            </w:r>
            <w:r>
              <w:rPr>
                <w:sz w:val="18"/>
                <w:szCs w:val="18"/>
              </w:rPr>
              <w:t xml:space="preserve">The limits on unsecured debt is $383,157 and </w:t>
            </w:r>
            <w:r>
              <w:rPr>
                <w:sz w:val="18"/>
                <w:szCs w:val="18"/>
              </w:rPr>
              <w:lastRenderedPageBreak/>
              <w:t>secured debt is $1,149,525. Debtor is not required to turn over assets. Debtor may classify general unsecured creditors, which can provide significant flexibility. Debtor can cure defaults of debts and executory contracts including mortgages.</w:t>
            </w:r>
          </w:p>
        </w:tc>
      </w:tr>
      <w:tr w:rsidR="00075841" w:rsidTr="00A22F34">
        <w:tc>
          <w:tcPr>
            <w:tcW w:w="1843" w:type="dxa"/>
          </w:tcPr>
          <w:p w:rsidR="00075841" w:rsidRDefault="00075841" w:rsidP="00A22F34">
            <w:pPr>
              <w:rPr>
                <w:b/>
                <w:sz w:val="18"/>
                <w:szCs w:val="18"/>
                <w:u w:val="single"/>
              </w:rPr>
            </w:pPr>
            <w:r>
              <w:rPr>
                <w:b/>
                <w:sz w:val="18"/>
                <w:szCs w:val="18"/>
                <w:u w:val="single"/>
              </w:rPr>
              <w:lastRenderedPageBreak/>
              <w:t>STATUE OF LIMITATIONS</w:t>
            </w:r>
          </w:p>
        </w:tc>
        <w:tc>
          <w:tcPr>
            <w:tcW w:w="1843" w:type="dxa"/>
          </w:tcPr>
          <w:p w:rsidR="00075841" w:rsidRPr="00560B10" w:rsidRDefault="00075841" w:rsidP="00A22F34">
            <w:pPr>
              <w:rPr>
                <w:sz w:val="18"/>
                <w:szCs w:val="18"/>
              </w:rPr>
            </w:pPr>
            <w:r>
              <w:rPr>
                <w:sz w:val="18"/>
                <w:szCs w:val="18"/>
              </w:rPr>
              <w:t>Extends</w:t>
            </w:r>
            <w:r w:rsidR="00267542">
              <w:rPr>
                <w:sz w:val="18"/>
                <w:szCs w:val="18"/>
              </w:rPr>
              <w:t xml:space="preserve"> 30 days after termination and during time installment agreement is pending acceptance. Not suspended during time IA in effect.</w:t>
            </w:r>
          </w:p>
        </w:tc>
        <w:tc>
          <w:tcPr>
            <w:tcW w:w="1843" w:type="dxa"/>
          </w:tcPr>
          <w:p w:rsidR="00075841" w:rsidRPr="00560B10" w:rsidRDefault="00075841" w:rsidP="000D5489">
            <w:pPr>
              <w:rPr>
                <w:sz w:val="18"/>
                <w:szCs w:val="18"/>
              </w:rPr>
            </w:pPr>
            <w:r>
              <w:rPr>
                <w:sz w:val="18"/>
                <w:szCs w:val="18"/>
              </w:rPr>
              <w:t xml:space="preserve">Submission of offer adds to </w:t>
            </w:r>
            <w:r w:rsidR="00267542">
              <w:rPr>
                <w:sz w:val="18"/>
                <w:szCs w:val="18"/>
              </w:rPr>
              <w:t xml:space="preserve">collection </w:t>
            </w:r>
            <w:r>
              <w:rPr>
                <w:sz w:val="18"/>
                <w:szCs w:val="18"/>
              </w:rPr>
              <w:t>statu</w:t>
            </w:r>
            <w:r w:rsidR="00267542">
              <w:rPr>
                <w:sz w:val="18"/>
                <w:szCs w:val="18"/>
              </w:rPr>
              <w:t>tes of limitations</w:t>
            </w:r>
            <w:r w:rsidR="000D5489">
              <w:rPr>
                <w:sz w:val="18"/>
                <w:szCs w:val="18"/>
              </w:rPr>
              <w:t xml:space="preserve"> the</w:t>
            </w:r>
            <w:r>
              <w:rPr>
                <w:sz w:val="18"/>
                <w:szCs w:val="18"/>
              </w:rPr>
              <w:t xml:space="preserve"> time IRS takes to process offer </w:t>
            </w:r>
            <w:r w:rsidR="00267542">
              <w:rPr>
                <w:sz w:val="18"/>
                <w:szCs w:val="18"/>
              </w:rPr>
              <w:t xml:space="preserve">once </w:t>
            </w:r>
            <w:r w:rsidR="000D5489">
              <w:rPr>
                <w:sz w:val="18"/>
                <w:szCs w:val="18"/>
              </w:rPr>
              <w:t xml:space="preserve">deemed </w:t>
            </w:r>
            <w:r w:rsidR="00267542">
              <w:rPr>
                <w:sz w:val="18"/>
                <w:szCs w:val="18"/>
              </w:rPr>
              <w:t>process</w:t>
            </w:r>
            <w:r w:rsidR="000D5489">
              <w:rPr>
                <w:sz w:val="18"/>
                <w:szCs w:val="18"/>
              </w:rPr>
              <w:t>a</w:t>
            </w:r>
            <w:r w:rsidR="00267542">
              <w:rPr>
                <w:sz w:val="18"/>
                <w:szCs w:val="18"/>
              </w:rPr>
              <w:t xml:space="preserve">ble </w:t>
            </w:r>
            <w:r>
              <w:rPr>
                <w:sz w:val="18"/>
                <w:szCs w:val="18"/>
              </w:rPr>
              <w:t>plus time in offer</w:t>
            </w:r>
            <w:r w:rsidR="00267542">
              <w:rPr>
                <w:sz w:val="18"/>
                <w:szCs w:val="18"/>
              </w:rPr>
              <w:t>.</w:t>
            </w:r>
            <w:r w:rsidR="000D5489">
              <w:rPr>
                <w:sz w:val="18"/>
                <w:szCs w:val="18"/>
              </w:rPr>
              <w:t xml:space="preserve"> Additional extensions on rejection and time in appeals</w:t>
            </w:r>
            <w:r w:rsidR="00267542">
              <w:rPr>
                <w:sz w:val="18"/>
                <w:szCs w:val="18"/>
              </w:rPr>
              <w:t xml:space="preserve">. </w:t>
            </w:r>
          </w:p>
        </w:tc>
        <w:tc>
          <w:tcPr>
            <w:tcW w:w="1843" w:type="dxa"/>
          </w:tcPr>
          <w:p w:rsidR="00075841" w:rsidRPr="00E0716A" w:rsidRDefault="00075841" w:rsidP="00A22F34">
            <w:pPr>
              <w:rPr>
                <w:sz w:val="18"/>
                <w:szCs w:val="18"/>
              </w:rPr>
            </w:pPr>
            <w:r>
              <w:rPr>
                <w:sz w:val="18"/>
                <w:szCs w:val="18"/>
              </w:rPr>
              <w:t>Tolled while bankruptcy is in process.</w:t>
            </w:r>
          </w:p>
        </w:tc>
        <w:tc>
          <w:tcPr>
            <w:tcW w:w="1844" w:type="dxa"/>
          </w:tcPr>
          <w:p w:rsidR="00075841" w:rsidRPr="00D440AA" w:rsidRDefault="00075841" w:rsidP="00A22F34">
            <w:pPr>
              <w:rPr>
                <w:sz w:val="18"/>
                <w:szCs w:val="18"/>
              </w:rPr>
            </w:pPr>
            <w:r w:rsidRPr="00D440AA">
              <w:rPr>
                <w:sz w:val="18"/>
                <w:szCs w:val="18"/>
              </w:rPr>
              <w:t>Tolled</w:t>
            </w:r>
            <w:r w:rsidR="000D5489">
              <w:rPr>
                <w:sz w:val="18"/>
                <w:szCs w:val="18"/>
              </w:rPr>
              <w:t xml:space="preserve"> while bankruptcy is in process plus 6 months.</w:t>
            </w:r>
          </w:p>
        </w:tc>
      </w:tr>
      <w:tr w:rsidR="00075841" w:rsidTr="00A22F34">
        <w:tc>
          <w:tcPr>
            <w:tcW w:w="1843" w:type="dxa"/>
          </w:tcPr>
          <w:p w:rsidR="00075841" w:rsidRDefault="00075841" w:rsidP="00A22F34">
            <w:pPr>
              <w:rPr>
                <w:b/>
                <w:sz w:val="18"/>
                <w:szCs w:val="18"/>
                <w:u w:val="single"/>
              </w:rPr>
            </w:pPr>
            <w:r>
              <w:rPr>
                <w:b/>
                <w:sz w:val="18"/>
                <w:szCs w:val="18"/>
                <w:u w:val="single"/>
              </w:rPr>
              <w:t>AUDIT &amp; COLLECTIONS</w:t>
            </w:r>
          </w:p>
        </w:tc>
        <w:tc>
          <w:tcPr>
            <w:tcW w:w="1843" w:type="dxa"/>
          </w:tcPr>
          <w:p w:rsidR="00075841" w:rsidRPr="00560B10" w:rsidRDefault="00075841" w:rsidP="00A22F34">
            <w:pPr>
              <w:rPr>
                <w:sz w:val="18"/>
                <w:szCs w:val="18"/>
              </w:rPr>
            </w:pPr>
            <w:r>
              <w:rPr>
                <w:sz w:val="18"/>
                <w:szCs w:val="18"/>
              </w:rPr>
              <w:t>IRS may audit. IRS may collect after default.</w:t>
            </w:r>
          </w:p>
        </w:tc>
        <w:tc>
          <w:tcPr>
            <w:tcW w:w="1843" w:type="dxa"/>
          </w:tcPr>
          <w:p w:rsidR="00075841" w:rsidRPr="00560B10" w:rsidRDefault="00075841" w:rsidP="00A22F34">
            <w:pPr>
              <w:rPr>
                <w:sz w:val="18"/>
                <w:szCs w:val="18"/>
              </w:rPr>
            </w:pPr>
            <w:r>
              <w:rPr>
                <w:sz w:val="18"/>
                <w:szCs w:val="18"/>
              </w:rPr>
              <w:t>IRS may audit. IRS may collect once offer denied or returned.</w:t>
            </w:r>
          </w:p>
        </w:tc>
        <w:tc>
          <w:tcPr>
            <w:tcW w:w="1843" w:type="dxa"/>
          </w:tcPr>
          <w:p w:rsidR="00075841" w:rsidRPr="00E0716A" w:rsidRDefault="00075841" w:rsidP="00A22F34">
            <w:pPr>
              <w:rPr>
                <w:b/>
                <w:sz w:val="18"/>
                <w:szCs w:val="18"/>
                <w:u w:val="single"/>
              </w:rPr>
            </w:pPr>
            <w:r>
              <w:rPr>
                <w:sz w:val="18"/>
                <w:szCs w:val="18"/>
              </w:rPr>
              <w:t xml:space="preserve">IRS may audit. IRS may </w:t>
            </w:r>
            <w:r>
              <w:rPr>
                <w:b/>
                <w:sz w:val="18"/>
                <w:szCs w:val="18"/>
                <w:u w:val="single"/>
              </w:rPr>
              <w:t>not collect without court permission.</w:t>
            </w:r>
          </w:p>
        </w:tc>
        <w:tc>
          <w:tcPr>
            <w:tcW w:w="1844" w:type="dxa"/>
          </w:tcPr>
          <w:p w:rsidR="00075841" w:rsidRPr="00D440AA" w:rsidRDefault="00075841" w:rsidP="00A22F34">
            <w:pPr>
              <w:rPr>
                <w:b/>
                <w:sz w:val="18"/>
                <w:szCs w:val="18"/>
                <w:u w:val="single"/>
              </w:rPr>
            </w:pPr>
            <w:r>
              <w:rPr>
                <w:sz w:val="18"/>
                <w:szCs w:val="18"/>
              </w:rPr>
              <w:t xml:space="preserve">IRS may audit. IRS may </w:t>
            </w:r>
            <w:r>
              <w:rPr>
                <w:b/>
                <w:sz w:val="18"/>
                <w:szCs w:val="18"/>
                <w:u w:val="single"/>
              </w:rPr>
              <w:t>not collect without court permission.</w:t>
            </w:r>
          </w:p>
        </w:tc>
      </w:tr>
      <w:tr w:rsidR="00075841" w:rsidTr="00A22F34">
        <w:tc>
          <w:tcPr>
            <w:tcW w:w="1843" w:type="dxa"/>
          </w:tcPr>
          <w:p w:rsidR="00075841" w:rsidRDefault="00075841" w:rsidP="00A22F34">
            <w:pPr>
              <w:rPr>
                <w:b/>
                <w:sz w:val="18"/>
                <w:szCs w:val="18"/>
                <w:u w:val="single"/>
              </w:rPr>
            </w:pPr>
            <w:smartTag w:uri="urn:schemas-microsoft-com:office:smarttags" w:element="country-region">
              <w:smartTag w:uri="urn:schemas-microsoft-com:office:smarttags" w:element="place">
                <w:r>
                  <w:rPr>
                    <w:b/>
                    <w:sz w:val="18"/>
                    <w:szCs w:val="18"/>
                    <w:u w:val="single"/>
                  </w:rPr>
                  <w:t>U.S.</w:t>
                </w:r>
              </w:smartTag>
            </w:smartTag>
            <w:r>
              <w:rPr>
                <w:b/>
                <w:sz w:val="18"/>
                <w:szCs w:val="18"/>
                <w:u w:val="single"/>
              </w:rPr>
              <w:t xml:space="preserve"> GOVERNMENT PERSON IN CHARGE OF CASE</w:t>
            </w:r>
          </w:p>
        </w:tc>
        <w:tc>
          <w:tcPr>
            <w:tcW w:w="1843" w:type="dxa"/>
          </w:tcPr>
          <w:p w:rsidR="00075841" w:rsidRPr="00560B10" w:rsidRDefault="00075841" w:rsidP="00A22F34">
            <w:pPr>
              <w:rPr>
                <w:sz w:val="18"/>
                <w:szCs w:val="18"/>
              </w:rPr>
            </w:pPr>
            <w:r>
              <w:rPr>
                <w:sz w:val="18"/>
                <w:szCs w:val="18"/>
              </w:rPr>
              <w:t>Revenue officer or ACS. Revenue officer has the power to summon taxpayer, seize assets and padlock business. Federal law overrides state law.</w:t>
            </w:r>
          </w:p>
        </w:tc>
        <w:tc>
          <w:tcPr>
            <w:tcW w:w="1843" w:type="dxa"/>
          </w:tcPr>
          <w:p w:rsidR="00075841" w:rsidRPr="00560B10" w:rsidRDefault="00075841" w:rsidP="00A22F34">
            <w:pPr>
              <w:rPr>
                <w:sz w:val="18"/>
                <w:szCs w:val="18"/>
              </w:rPr>
            </w:pPr>
            <w:r w:rsidRPr="00560B10">
              <w:rPr>
                <w:sz w:val="18"/>
                <w:szCs w:val="18"/>
              </w:rPr>
              <w:t xml:space="preserve">Revenue Officer in </w:t>
            </w:r>
            <w:r>
              <w:rPr>
                <w:sz w:val="18"/>
                <w:szCs w:val="18"/>
              </w:rPr>
              <w:t xml:space="preserve">Offer </w:t>
            </w:r>
            <w:r w:rsidRPr="00560B10">
              <w:rPr>
                <w:sz w:val="18"/>
                <w:szCs w:val="18"/>
              </w:rPr>
              <w:t>Special</w:t>
            </w:r>
            <w:r>
              <w:rPr>
                <w:sz w:val="18"/>
                <w:szCs w:val="18"/>
              </w:rPr>
              <w:t>ist or service center.</w:t>
            </w:r>
          </w:p>
        </w:tc>
        <w:tc>
          <w:tcPr>
            <w:tcW w:w="1843" w:type="dxa"/>
          </w:tcPr>
          <w:p w:rsidR="00075841" w:rsidRPr="00E0716A" w:rsidRDefault="00075841" w:rsidP="00A22F34">
            <w:pPr>
              <w:rPr>
                <w:sz w:val="18"/>
                <w:szCs w:val="18"/>
              </w:rPr>
            </w:pPr>
            <w:r>
              <w:rPr>
                <w:sz w:val="18"/>
                <w:szCs w:val="18"/>
              </w:rPr>
              <w:t>Bankruptcy Judge makes final decisions. U.S. Trustee is responsible for sale of assets and distribution to creditors. Creditors may interview debtor at 341 hearing. Creditors may file suit in bankruptcy court.</w:t>
            </w:r>
          </w:p>
        </w:tc>
        <w:tc>
          <w:tcPr>
            <w:tcW w:w="1844" w:type="dxa"/>
          </w:tcPr>
          <w:p w:rsidR="00075841" w:rsidRPr="00D440AA" w:rsidRDefault="00075841" w:rsidP="00A22F34">
            <w:pPr>
              <w:rPr>
                <w:sz w:val="18"/>
                <w:szCs w:val="18"/>
              </w:rPr>
            </w:pPr>
            <w:r>
              <w:rPr>
                <w:sz w:val="18"/>
                <w:szCs w:val="18"/>
              </w:rPr>
              <w:t>Bankruptcy judge makes final decisions. Standing Chapter 13 Trustee distributes payments to creditors. Creditors may interview debtor at 341 hearing. Creditors may file suit in bankruptcy court.</w:t>
            </w:r>
          </w:p>
        </w:tc>
      </w:tr>
      <w:tr w:rsidR="00075841" w:rsidTr="00A22F34">
        <w:trPr>
          <w:trHeight w:val="1547"/>
        </w:trPr>
        <w:tc>
          <w:tcPr>
            <w:tcW w:w="1843" w:type="dxa"/>
          </w:tcPr>
          <w:p w:rsidR="00075841" w:rsidRDefault="00075841" w:rsidP="00A22F34">
            <w:pPr>
              <w:rPr>
                <w:b/>
                <w:sz w:val="18"/>
                <w:szCs w:val="18"/>
                <w:u w:val="single"/>
              </w:rPr>
            </w:pPr>
            <w:r>
              <w:rPr>
                <w:b/>
                <w:sz w:val="18"/>
                <w:szCs w:val="18"/>
                <w:u w:val="single"/>
              </w:rPr>
              <w:t>METHOD OF PAYMENT</w:t>
            </w:r>
          </w:p>
        </w:tc>
        <w:tc>
          <w:tcPr>
            <w:tcW w:w="1843" w:type="dxa"/>
          </w:tcPr>
          <w:p w:rsidR="00075841" w:rsidRPr="00560B10" w:rsidRDefault="00075841" w:rsidP="00A22F34">
            <w:pPr>
              <w:rPr>
                <w:sz w:val="18"/>
                <w:szCs w:val="18"/>
              </w:rPr>
            </w:pPr>
            <w:r>
              <w:rPr>
                <w:sz w:val="18"/>
                <w:szCs w:val="18"/>
              </w:rPr>
              <w:t>Usually pay monthly to IRS. Other creditors are not stayed. IRS may not allow payment to other creditors.</w:t>
            </w:r>
          </w:p>
        </w:tc>
        <w:tc>
          <w:tcPr>
            <w:tcW w:w="1843" w:type="dxa"/>
          </w:tcPr>
          <w:p w:rsidR="00075841" w:rsidRPr="00560B10" w:rsidRDefault="00075841" w:rsidP="00A22F34">
            <w:pPr>
              <w:rPr>
                <w:sz w:val="18"/>
                <w:szCs w:val="18"/>
              </w:rPr>
            </w:pPr>
            <w:r w:rsidRPr="00560B10">
              <w:rPr>
                <w:sz w:val="18"/>
                <w:szCs w:val="18"/>
              </w:rPr>
              <w:t xml:space="preserve">Lump sum or very short-term </w:t>
            </w:r>
            <w:r>
              <w:rPr>
                <w:sz w:val="18"/>
                <w:szCs w:val="18"/>
              </w:rPr>
              <w:t xml:space="preserve">24 month </w:t>
            </w:r>
            <w:r w:rsidRPr="00560B10">
              <w:rPr>
                <w:sz w:val="18"/>
                <w:szCs w:val="18"/>
              </w:rPr>
              <w:t>installments unless collateral agreement requires.</w:t>
            </w:r>
          </w:p>
        </w:tc>
        <w:tc>
          <w:tcPr>
            <w:tcW w:w="1843" w:type="dxa"/>
          </w:tcPr>
          <w:p w:rsidR="00075841" w:rsidRPr="00E0716A" w:rsidRDefault="00075841" w:rsidP="00A22F34">
            <w:pPr>
              <w:rPr>
                <w:sz w:val="18"/>
                <w:szCs w:val="18"/>
              </w:rPr>
            </w:pPr>
            <w:r>
              <w:rPr>
                <w:sz w:val="18"/>
                <w:szCs w:val="18"/>
              </w:rPr>
              <w:t>Lump sum or surrender and sales unless exempt. Possible combination with Chapter 13 may save assets and have better results.</w:t>
            </w:r>
          </w:p>
        </w:tc>
        <w:tc>
          <w:tcPr>
            <w:tcW w:w="1844" w:type="dxa"/>
          </w:tcPr>
          <w:p w:rsidR="00075841" w:rsidRPr="00D440AA" w:rsidRDefault="00075841" w:rsidP="00A22F34">
            <w:pPr>
              <w:rPr>
                <w:sz w:val="18"/>
                <w:szCs w:val="18"/>
              </w:rPr>
            </w:pPr>
            <w:r>
              <w:rPr>
                <w:sz w:val="18"/>
                <w:szCs w:val="18"/>
              </w:rPr>
              <w:t>Debtor proposes plan. Debtor makes payments to Standing Chapter 13 Trustee. First payment 30 days after filing/</w:t>
            </w:r>
          </w:p>
        </w:tc>
      </w:tr>
      <w:tr w:rsidR="00075841" w:rsidTr="00A22F34">
        <w:tc>
          <w:tcPr>
            <w:tcW w:w="1843" w:type="dxa"/>
          </w:tcPr>
          <w:p w:rsidR="00075841" w:rsidRDefault="00075841" w:rsidP="00A22F34">
            <w:pPr>
              <w:rPr>
                <w:b/>
                <w:sz w:val="18"/>
                <w:szCs w:val="18"/>
                <w:u w:val="single"/>
              </w:rPr>
            </w:pPr>
            <w:r>
              <w:rPr>
                <w:b/>
                <w:sz w:val="18"/>
                <w:szCs w:val="18"/>
                <w:u w:val="single"/>
              </w:rPr>
              <w:t>PROPERTY KEPT BY TAXPAYER</w:t>
            </w:r>
          </w:p>
        </w:tc>
        <w:tc>
          <w:tcPr>
            <w:tcW w:w="1843" w:type="dxa"/>
          </w:tcPr>
          <w:p w:rsidR="00075841" w:rsidRPr="00560B10" w:rsidRDefault="00075841" w:rsidP="00A22F34">
            <w:pPr>
              <w:rPr>
                <w:sz w:val="18"/>
                <w:szCs w:val="18"/>
              </w:rPr>
            </w:pPr>
            <w:r w:rsidRPr="00560B10">
              <w:rPr>
                <w:sz w:val="18"/>
                <w:szCs w:val="18"/>
              </w:rPr>
              <w:t>If no default, usually all. Must pay in full</w:t>
            </w:r>
            <w:r>
              <w:rPr>
                <w:b/>
                <w:sz w:val="18"/>
                <w:szCs w:val="18"/>
                <w:u w:val="single"/>
              </w:rPr>
              <w:t>.</w:t>
            </w:r>
          </w:p>
        </w:tc>
        <w:tc>
          <w:tcPr>
            <w:tcW w:w="1843" w:type="dxa"/>
          </w:tcPr>
          <w:p w:rsidR="00075841" w:rsidRPr="00560B10" w:rsidRDefault="00075841" w:rsidP="00A22F34">
            <w:pPr>
              <w:rPr>
                <w:sz w:val="18"/>
                <w:szCs w:val="18"/>
              </w:rPr>
            </w:pPr>
            <w:r>
              <w:rPr>
                <w:sz w:val="18"/>
                <w:szCs w:val="18"/>
              </w:rPr>
              <w:t>Must pay value offered</w:t>
            </w:r>
            <w:r w:rsidRPr="00560B10">
              <w:rPr>
                <w:sz w:val="18"/>
                <w:szCs w:val="18"/>
              </w:rPr>
              <w:t xml:space="preserve">, </w:t>
            </w:r>
            <w:r>
              <w:rPr>
                <w:sz w:val="18"/>
                <w:szCs w:val="18"/>
              </w:rPr>
              <w:t>No requirement to liquidate</w:t>
            </w:r>
            <w:r w:rsidRPr="00560B10">
              <w:rPr>
                <w:sz w:val="18"/>
                <w:szCs w:val="18"/>
              </w:rPr>
              <w:t>.</w:t>
            </w:r>
          </w:p>
        </w:tc>
        <w:tc>
          <w:tcPr>
            <w:tcW w:w="1843" w:type="dxa"/>
          </w:tcPr>
          <w:p w:rsidR="00075841" w:rsidRPr="00D440AA" w:rsidRDefault="00075841" w:rsidP="00A22F34">
            <w:pPr>
              <w:rPr>
                <w:sz w:val="18"/>
                <w:szCs w:val="18"/>
              </w:rPr>
            </w:pPr>
            <w:r>
              <w:rPr>
                <w:sz w:val="18"/>
                <w:szCs w:val="18"/>
              </w:rPr>
              <w:t>Depends. See bankruptcy code for exempt non-exempt assets.</w:t>
            </w:r>
          </w:p>
        </w:tc>
        <w:tc>
          <w:tcPr>
            <w:tcW w:w="1844" w:type="dxa"/>
          </w:tcPr>
          <w:p w:rsidR="00075841" w:rsidRPr="000738EB" w:rsidRDefault="00075841" w:rsidP="00A22F34">
            <w:pPr>
              <w:rPr>
                <w:sz w:val="18"/>
                <w:szCs w:val="18"/>
              </w:rPr>
            </w:pPr>
            <w:r>
              <w:rPr>
                <w:sz w:val="18"/>
                <w:szCs w:val="18"/>
              </w:rPr>
              <w:t>Usually all. See bankruptcy code for exempt non-exempt and secured assets.</w:t>
            </w:r>
          </w:p>
        </w:tc>
      </w:tr>
      <w:tr w:rsidR="00075841" w:rsidTr="00A22F34">
        <w:tc>
          <w:tcPr>
            <w:tcW w:w="1843" w:type="dxa"/>
          </w:tcPr>
          <w:p w:rsidR="00075841" w:rsidRDefault="00075841" w:rsidP="00A22F34">
            <w:pPr>
              <w:rPr>
                <w:b/>
                <w:sz w:val="18"/>
                <w:szCs w:val="18"/>
                <w:u w:val="single"/>
              </w:rPr>
            </w:pPr>
            <w:r>
              <w:rPr>
                <w:b/>
                <w:sz w:val="18"/>
                <w:szCs w:val="18"/>
                <w:u w:val="single"/>
              </w:rPr>
              <w:t>DURATION OF PAYMENT</w:t>
            </w:r>
          </w:p>
        </w:tc>
        <w:tc>
          <w:tcPr>
            <w:tcW w:w="1843" w:type="dxa"/>
          </w:tcPr>
          <w:p w:rsidR="00075841" w:rsidRPr="00560B10" w:rsidRDefault="00075841" w:rsidP="00A22F34">
            <w:pPr>
              <w:rPr>
                <w:sz w:val="18"/>
                <w:szCs w:val="18"/>
              </w:rPr>
            </w:pPr>
            <w:r w:rsidRPr="00560B10">
              <w:rPr>
                <w:sz w:val="18"/>
                <w:szCs w:val="18"/>
              </w:rPr>
              <w:t>Statu</w:t>
            </w:r>
            <w:r>
              <w:rPr>
                <w:sz w:val="18"/>
                <w:szCs w:val="18"/>
              </w:rPr>
              <w:t>t</w:t>
            </w:r>
            <w:r w:rsidRPr="00560B10">
              <w:rPr>
                <w:sz w:val="18"/>
                <w:szCs w:val="18"/>
              </w:rPr>
              <w:t xml:space="preserve">e of limitations is 10 years. </w:t>
            </w:r>
            <w:r>
              <w:rPr>
                <w:sz w:val="18"/>
                <w:szCs w:val="18"/>
              </w:rPr>
              <w:t>E</w:t>
            </w:r>
            <w:r w:rsidRPr="00560B10">
              <w:rPr>
                <w:sz w:val="18"/>
                <w:szCs w:val="18"/>
              </w:rPr>
              <w:t>xtension of time</w:t>
            </w:r>
            <w:r>
              <w:rPr>
                <w:sz w:val="18"/>
                <w:szCs w:val="18"/>
              </w:rPr>
              <w:t xml:space="preserve"> may apply for multiple circumstances that prohibit collection.</w:t>
            </w:r>
          </w:p>
        </w:tc>
        <w:tc>
          <w:tcPr>
            <w:tcW w:w="1843" w:type="dxa"/>
          </w:tcPr>
          <w:p w:rsidR="00075841" w:rsidRPr="00560B10" w:rsidRDefault="00075841" w:rsidP="00A22F34">
            <w:pPr>
              <w:rPr>
                <w:sz w:val="18"/>
                <w:szCs w:val="18"/>
              </w:rPr>
            </w:pPr>
            <w:r>
              <w:rPr>
                <w:sz w:val="18"/>
                <w:szCs w:val="18"/>
              </w:rPr>
              <w:t>Lump sum method 20% down and five payments after acceptance. Periodic payment 24 months. Probation for 5 years. Noncompliance during five years is default.</w:t>
            </w:r>
          </w:p>
        </w:tc>
        <w:tc>
          <w:tcPr>
            <w:tcW w:w="1843" w:type="dxa"/>
          </w:tcPr>
          <w:p w:rsidR="00075841" w:rsidRDefault="00075841" w:rsidP="00A22F34">
            <w:pPr>
              <w:rPr>
                <w:b/>
                <w:sz w:val="18"/>
                <w:szCs w:val="18"/>
                <w:u w:val="single"/>
              </w:rPr>
            </w:pPr>
            <w:r>
              <w:rPr>
                <w:sz w:val="18"/>
                <w:szCs w:val="18"/>
              </w:rPr>
              <w:t>Nonexempt a</w:t>
            </w:r>
            <w:r w:rsidRPr="00D440AA">
              <w:rPr>
                <w:sz w:val="18"/>
                <w:szCs w:val="18"/>
              </w:rPr>
              <w:t xml:space="preserve">ssets surrendered </w:t>
            </w:r>
            <w:r>
              <w:rPr>
                <w:sz w:val="18"/>
                <w:szCs w:val="18"/>
              </w:rPr>
              <w:t>abandoned or redeemed.</w:t>
            </w:r>
            <w:r w:rsidRPr="00D440AA">
              <w:rPr>
                <w:sz w:val="18"/>
                <w:szCs w:val="18"/>
              </w:rPr>
              <w:t xml:space="preserve"> </w:t>
            </w:r>
            <w:r>
              <w:rPr>
                <w:sz w:val="18"/>
                <w:szCs w:val="18"/>
              </w:rPr>
              <w:t>Lump sum surrender unless agreement reached with trustee or redeemed.</w:t>
            </w:r>
          </w:p>
        </w:tc>
        <w:tc>
          <w:tcPr>
            <w:tcW w:w="1844" w:type="dxa"/>
          </w:tcPr>
          <w:p w:rsidR="00075841" w:rsidRPr="000738EB" w:rsidRDefault="00075841" w:rsidP="00A22F34">
            <w:pPr>
              <w:rPr>
                <w:sz w:val="18"/>
                <w:szCs w:val="18"/>
              </w:rPr>
            </w:pPr>
            <w:r w:rsidRPr="000738EB">
              <w:rPr>
                <w:sz w:val="18"/>
                <w:szCs w:val="18"/>
              </w:rPr>
              <w:t>Normally minimum of 3 years. May extend to 5 years for cause.</w:t>
            </w:r>
          </w:p>
        </w:tc>
      </w:tr>
    </w:tbl>
    <w:p w:rsidR="00075841" w:rsidRPr="00560B10" w:rsidRDefault="00075841" w:rsidP="00075841">
      <w:pPr>
        <w:rPr>
          <w:b/>
          <w:sz w:val="18"/>
          <w:szCs w:val="18"/>
          <w:u w:val="single"/>
        </w:rPr>
      </w:pPr>
    </w:p>
    <w:p w:rsidR="00075841" w:rsidRDefault="00075841"/>
    <w:sectPr w:rsidR="0007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632090-AF78-4EB8-8FAB-F94DB11AB9D8}"/>
    <w:docVar w:name="dgnword-eventsink" w:val="235863608"/>
  </w:docVars>
  <w:rsids>
    <w:rsidRoot w:val="00075841"/>
    <w:rsid w:val="00075841"/>
    <w:rsid w:val="000D5489"/>
    <w:rsid w:val="00267542"/>
    <w:rsid w:val="003F50B8"/>
    <w:rsid w:val="00695861"/>
    <w:rsid w:val="006F749F"/>
    <w:rsid w:val="007E461A"/>
    <w:rsid w:val="00A0373B"/>
    <w:rsid w:val="00D317ED"/>
    <w:rsid w:val="00D96469"/>
    <w:rsid w:val="00E7438A"/>
    <w:rsid w:val="00F06422"/>
    <w:rsid w:val="00FD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61"/>
  </w:style>
  <w:style w:type="paragraph" w:styleId="Heading1">
    <w:name w:val="heading 1"/>
    <w:basedOn w:val="Normal"/>
    <w:next w:val="Normal"/>
    <w:link w:val="Heading1Char"/>
    <w:uiPriority w:val="9"/>
    <w:qFormat/>
    <w:rsid w:val="0069586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9586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9586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9586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9586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9586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9586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9586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9586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5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86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9586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9586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9586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9586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9586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9586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9586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95861"/>
    <w:rPr>
      <w:b/>
      <w:bCs/>
      <w:i/>
      <w:iCs/>
    </w:rPr>
  </w:style>
  <w:style w:type="paragraph" w:styleId="Caption">
    <w:name w:val="caption"/>
    <w:basedOn w:val="Normal"/>
    <w:next w:val="Normal"/>
    <w:uiPriority w:val="35"/>
    <w:semiHidden/>
    <w:unhideWhenUsed/>
    <w:qFormat/>
    <w:rsid w:val="0069586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9586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9586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9586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95861"/>
    <w:rPr>
      <w:color w:val="44546A" w:themeColor="text2"/>
      <w:sz w:val="28"/>
      <w:szCs w:val="28"/>
    </w:rPr>
  </w:style>
  <w:style w:type="character" w:styleId="Strong">
    <w:name w:val="Strong"/>
    <w:basedOn w:val="DefaultParagraphFont"/>
    <w:uiPriority w:val="22"/>
    <w:qFormat/>
    <w:rsid w:val="00695861"/>
    <w:rPr>
      <w:b/>
      <w:bCs/>
    </w:rPr>
  </w:style>
  <w:style w:type="character" w:styleId="Emphasis">
    <w:name w:val="Emphasis"/>
    <w:basedOn w:val="DefaultParagraphFont"/>
    <w:uiPriority w:val="20"/>
    <w:qFormat/>
    <w:rsid w:val="00695861"/>
    <w:rPr>
      <w:i/>
      <w:iCs/>
      <w:color w:val="000000" w:themeColor="text1"/>
    </w:rPr>
  </w:style>
  <w:style w:type="paragraph" w:styleId="NoSpacing">
    <w:name w:val="No Spacing"/>
    <w:uiPriority w:val="1"/>
    <w:qFormat/>
    <w:rsid w:val="00695861"/>
    <w:pPr>
      <w:spacing w:after="0" w:line="240" w:lineRule="auto"/>
    </w:pPr>
  </w:style>
  <w:style w:type="paragraph" w:styleId="Quote">
    <w:name w:val="Quote"/>
    <w:basedOn w:val="Normal"/>
    <w:next w:val="Normal"/>
    <w:link w:val="QuoteChar"/>
    <w:uiPriority w:val="29"/>
    <w:qFormat/>
    <w:rsid w:val="0069586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95861"/>
    <w:rPr>
      <w:i/>
      <w:iCs/>
      <w:color w:val="7B7B7B" w:themeColor="accent3" w:themeShade="BF"/>
      <w:sz w:val="24"/>
      <w:szCs w:val="24"/>
    </w:rPr>
  </w:style>
  <w:style w:type="paragraph" w:styleId="IntenseQuote">
    <w:name w:val="Intense Quote"/>
    <w:basedOn w:val="Normal"/>
    <w:next w:val="Normal"/>
    <w:link w:val="IntenseQuoteChar"/>
    <w:uiPriority w:val="30"/>
    <w:qFormat/>
    <w:rsid w:val="0069586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9586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95861"/>
    <w:rPr>
      <w:i/>
      <w:iCs/>
      <w:color w:val="595959" w:themeColor="text1" w:themeTint="A6"/>
    </w:rPr>
  </w:style>
  <w:style w:type="character" w:styleId="IntenseEmphasis">
    <w:name w:val="Intense Emphasis"/>
    <w:basedOn w:val="DefaultParagraphFont"/>
    <w:uiPriority w:val="21"/>
    <w:qFormat/>
    <w:rsid w:val="00695861"/>
    <w:rPr>
      <w:b/>
      <w:bCs/>
      <w:i/>
      <w:iCs/>
      <w:color w:val="auto"/>
    </w:rPr>
  </w:style>
  <w:style w:type="character" w:styleId="SubtleReference">
    <w:name w:val="Subtle Reference"/>
    <w:basedOn w:val="DefaultParagraphFont"/>
    <w:uiPriority w:val="31"/>
    <w:qFormat/>
    <w:rsid w:val="006958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95861"/>
    <w:rPr>
      <w:b/>
      <w:bCs/>
      <w:caps w:val="0"/>
      <w:smallCaps/>
      <w:color w:val="auto"/>
      <w:spacing w:val="0"/>
      <w:u w:val="single"/>
    </w:rPr>
  </w:style>
  <w:style w:type="character" w:styleId="BookTitle">
    <w:name w:val="Book Title"/>
    <w:basedOn w:val="DefaultParagraphFont"/>
    <w:uiPriority w:val="33"/>
    <w:qFormat/>
    <w:rsid w:val="00695861"/>
    <w:rPr>
      <w:b/>
      <w:bCs/>
      <w:caps w:val="0"/>
      <w:smallCaps/>
      <w:spacing w:val="0"/>
    </w:rPr>
  </w:style>
  <w:style w:type="paragraph" w:styleId="TOCHeading">
    <w:name w:val="TOC Heading"/>
    <w:basedOn w:val="Heading1"/>
    <w:next w:val="Normal"/>
    <w:uiPriority w:val="39"/>
    <w:semiHidden/>
    <w:unhideWhenUsed/>
    <w:qFormat/>
    <w:rsid w:val="0069586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61"/>
  </w:style>
  <w:style w:type="paragraph" w:styleId="Heading1">
    <w:name w:val="heading 1"/>
    <w:basedOn w:val="Normal"/>
    <w:next w:val="Normal"/>
    <w:link w:val="Heading1Char"/>
    <w:uiPriority w:val="9"/>
    <w:qFormat/>
    <w:rsid w:val="0069586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9586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9586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9586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9586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9586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9586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9586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9586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5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86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9586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9586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9586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9586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9586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9586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9586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95861"/>
    <w:rPr>
      <w:b/>
      <w:bCs/>
      <w:i/>
      <w:iCs/>
    </w:rPr>
  </w:style>
  <w:style w:type="paragraph" w:styleId="Caption">
    <w:name w:val="caption"/>
    <w:basedOn w:val="Normal"/>
    <w:next w:val="Normal"/>
    <w:uiPriority w:val="35"/>
    <w:semiHidden/>
    <w:unhideWhenUsed/>
    <w:qFormat/>
    <w:rsid w:val="0069586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9586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9586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9586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95861"/>
    <w:rPr>
      <w:color w:val="44546A" w:themeColor="text2"/>
      <w:sz w:val="28"/>
      <w:szCs w:val="28"/>
    </w:rPr>
  </w:style>
  <w:style w:type="character" w:styleId="Strong">
    <w:name w:val="Strong"/>
    <w:basedOn w:val="DefaultParagraphFont"/>
    <w:uiPriority w:val="22"/>
    <w:qFormat/>
    <w:rsid w:val="00695861"/>
    <w:rPr>
      <w:b/>
      <w:bCs/>
    </w:rPr>
  </w:style>
  <w:style w:type="character" w:styleId="Emphasis">
    <w:name w:val="Emphasis"/>
    <w:basedOn w:val="DefaultParagraphFont"/>
    <w:uiPriority w:val="20"/>
    <w:qFormat/>
    <w:rsid w:val="00695861"/>
    <w:rPr>
      <w:i/>
      <w:iCs/>
      <w:color w:val="000000" w:themeColor="text1"/>
    </w:rPr>
  </w:style>
  <w:style w:type="paragraph" w:styleId="NoSpacing">
    <w:name w:val="No Spacing"/>
    <w:uiPriority w:val="1"/>
    <w:qFormat/>
    <w:rsid w:val="00695861"/>
    <w:pPr>
      <w:spacing w:after="0" w:line="240" w:lineRule="auto"/>
    </w:pPr>
  </w:style>
  <w:style w:type="paragraph" w:styleId="Quote">
    <w:name w:val="Quote"/>
    <w:basedOn w:val="Normal"/>
    <w:next w:val="Normal"/>
    <w:link w:val="QuoteChar"/>
    <w:uiPriority w:val="29"/>
    <w:qFormat/>
    <w:rsid w:val="0069586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95861"/>
    <w:rPr>
      <w:i/>
      <w:iCs/>
      <w:color w:val="7B7B7B" w:themeColor="accent3" w:themeShade="BF"/>
      <w:sz w:val="24"/>
      <w:szCs w:val="24"/>
    </w:rPr>
  </w:style>
  <w:style w:type="paragraph" w:styleId="IntenseQuote">
    <w:name w:val="Intense Quote"/>
    <w:basedOn w:val="Normal"/>
    <w:next w:val="Normal"/>
    <w:link w:val="IntenseQuoteChar"/>
    <w:uiPriority w:val="30"/>
    <w:qFormat/>
    <w:rsid w:val="0069586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9586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95861"/>
    <w:rPr>
      <w:i/>
      <w:iCs/>
      <w:color w:val="595959" w:themeColor="text1" w:themeTint="A6"/>
    </w:rPr>
  </w:style>
  <w:style w:type="character" w:styleId="IntenseEmphasis">
    <w:name w:val="Intense Emphasis"/>
    <w:basedOn w:val="DefaultParagraphFont"/>
    <w:uiPriority w:val="21"/>
    <w:qFormat/>
    <w:rsid w:val="00695861"/>
    <w:rPr>
      <w:b/>
      <w:bCs/>
      <w:i/>
      <w:iCs/>
      <w:color w:val="auto"/>
    </w:rPr>
  </w:style>
  <w:style w:type="character" w:styleId="SubtleReference">
    <w:name w:val="Subtle Reference"/>
    <w:basedOn w:val="DefaultParagraphFont"/>
    <w:uiPriority w:val="31"/>
    <w:qFormat/>
    <w:rsid w:val="006958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95861"/>
    <w:rPr>
      <w:b/>
      <w:bCs/>
      <w:caps w:val="0"/>
      <w:smallCaps/>
      <w:color w:val="auto"/>
      <w:spacing w:val="0"/>
      <w:u w:val="single"/>
    </w:rPr>
  </w:style>
  <w:style w:type="character" w:styleId="BookTitle">
    <w:name w:val="Book Title"/>
    <w:basedOn w:val="DefaultParagraphFont"/>
    <w:uiPriority w:val="33"/>
    <w:qFormat/>
    <w:rsid w:val="00695861"/>
    <w:rPr>
      <w:b/>
      <w:bCs/>
      <w:caps w:val="0"/>
      <w:smallCaps/>
      <w:spacing w:val="0"/>
    </w:rPr>
  </w:style>
  <w:style w:type="paragraph" w:styleId="TOCHeading">
    <w:name w:val="TOC Heading"/>
    <w:basedOn w:val="Heading1"/>
    <w:next w:val="Normal"/>
    <w:uiPriority w:val="39"/>
    <w:semiHidden/>
    <w:unhideWhenUsed/>
    <w:qFormat/>
    <w:rsid w:val="006958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5673-70CB-41D8-879C-D9F88124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Kunofsky</dc:creator>
  <cp:lastModifiedBy>Joan Truman</cp:lastModifiedBy>
  <cp:revision>2</cp:revision>
  <dcterms:created xsi:type="dcterms:W3CDTF">2015-10-19T15:47:00Z</dcterms:created>
  <dcterms:modified xsi:type="dcterms:W3CDTF">2015-10-19T15:47:00Z</dcterms:modified>
</cp:coreProperties>
</file>